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639" w:type="dxa"/>
        <w:tblInd w:w="-55" w:type="dxa"/>
        <w:tblBorders>
          <w:top w:val="single" w:sz="4" w:space="0" w:color="auto"/>
          <w:left w:val="single" w:sz="4" w:space="0" w:color="auto"/>
          <w:bottom w:val="single" w:sz="4" w:space="0" w:color="auto"/>
          <w:right w:val="single" w:sz="4" w:space="0" w:color="auto"/>
          <w:insideH w:val="single" w:sz="4" w:space="0" w:color="auto"/>
        </w:tblBorders>
        <w:tblLayout w:type="fixed"/>
        <w:tblCellMar>
          <w:left w:w="57" w:type="dxa"/>
          <w:right w:w="57" w:type="dxa"/>
        </w:tblCellMar>
        <w:tblLook w:val="00A0" w:firstRow="1" w:lastRow="0" w:firstColumn="1" w:lastColumn="0" w:noHBand="0" w:noVBand="0"/>
      </w:tblPr>
      <w:tblGrid>
        <w:gridCol w:w="935"/>
        <w:gridCol w:w="6977"/>
        <w:gridCol w:w="1727"/>
      </w:tblGrid>
      <w:tr w:rsidR="00D5104A" w14:paraId="46369A1F" w14:textId="77777777" w:rsidTr="006C2FC3">
        <w:trPr>
          <w:trHeight w:hRule="exact" w:val="227"/>
        </w:trPr>
        <w:tc>
          <w:tcPr>
            <w:tcW w:w="935" w:type="dxa"/>
            <w:vAlign w:val="center"/>
          </w:tcPr>
          <w:p w14:paraId="18F89656" w14:textId="77777777" w:rsidR="00D5104A" w:rsidRDefault="00D5104A" w:rsidP="00D5104A">
            <w:pPr>
              <w:pStyle w:val="dajtabulky"/>
              <w:spacing w:line="240" w:lineRule="auto"/>
            </w:pPr>
          </w:p>
        </w:tc>
        <w:tc>
          <w:tcPr>
            <w:tcW w:w="6977" w:type="dxa"/>
            <w:vAlign w:val="center"/>
          </w:tcPr>
          <w:p w14:paraId="13AC30F8" w14:textId="77777777" w:rsidR="00D5104A" w:rsidRDefault="00D5104A" w:rsidP="00D5104A">
            <w:pPr>
              <w:pStyle w:val="dajtabulky"/>
              <w:spacing w:line="240" w:lineRule="auto"/>
              <w:rPr>
                <w:sz w:val="14"/>
                <w:szCs w:val="14"/>
              </w:rPr>
            </w:pPr>
          </w:p>
        </w:tc>
        <w:tc>
          <w:tcPr>
            <w:tcW w:w="1727" w:type="dxa"/>
            <w:vAlign w:val="center"/>
          </w:tcPr>
          <w:p w14:paraId="4FDF57C2" w14:textId="77777777" w:rsidR="00D5104A" w:rsidRDefault="00D5104A" w:rsidP="00D5104A">
            <w:pPr>
              <w:pStyle w:val="dajtabulky"/>
              <w:spacing w:line="240" w:lineRule="auto"/>
            </w:pPr>
          </w:p>
        </w:tc>
      </w:tr>
      <w:tr w:rsidR="00D5104A" w14:paraId="0D9D8873" w14:textId="77777777" w:rsidTr="006C2FC3">
        <w:trPr>
          <w:trHeight w:hRule="exact" w:val="227"/>
        </w:trPr>
        <w:tc>
          <w:tcPr>
            <w:tcW w:w="935" w:type="dxa"/>
            <w:vAlign w:val="center"/>
          </w:tcPr>
          <w:p w14:paraId="37C37FA3" w14:textId="77777777" w:rsidR="00D5104A" w:rsidRDefault="00D5104A" w:rsidP="00D5104A">
            <w:pPr>
              <w:pStyle w:val="Popisektabulky"/>
              <w:spacing w:line="240" w:lineRule="auto"/>
            </w:pPr>
            <w:r>
              <w:t>Revize</w:t>
            </w:r>
          </w:p>
        </w:tc>
        <w:tc>
          <w:tcPr>
            <w:tcW w:w="6977" w:type="dxa"/>
            <w:vAlign w:val="center"/>
          </w:tcPr>
          <w:p w14:paraId="62046B07" w14:textId="77777777" w:rsidR="00D5104A" w:rsidRDefault="00D5104A" w:rsidP="00D5104A">
            <w:pPr>
              <w:pStyle w:val="Popisektabulky"/>
              <w:spacing w:line="240" w:lineRule="auto"/>
            </w:pPr>
            <w:r>
              <w:t>Popis revize</w:t>
            </w:r>
          </w:p>
        </w:tc>
        <w:tc>
          <w:tcPr>
            <w:tcW w:w="1727" w:type="dxa"/>
            <w:vAlign w:val="center"/>
          </w:tcPr>
          <w:p w14:paraId="5E8ACB13" w14:textId="77777777" w:rsidR="00D5104A" w:rsidRDefault="00D5104A" w:rsidP="00D5104A">
            <w:pPr>
              <w:pStyle w:val="Popisektabulky"/>
              <w:spacing w:line="240" w:lineRule="auto"/>
              <w:rPr>
                <w:sz w:val="20"/>
                <w:szCs w:val="20"/>
              </w:rPr>
            </w:pPr>
            <w:r>
              <w:t>Datum revize</w:t>
            </w:r>
          </w:p>
        </w:tc>
      </w:tr>
    </w:tbl>
    <w:p w14:paraId="6F885082" w14:textId="77777777" w:rsidR="00D5104A" w:rsidRDefault="00D5104A" w:rsidP="00D5104A">
      <w:pPr>
        <w:spacing w:line="240" w:lineRule="auto"/>
      </w:pPr>
    </w:p>
    <w:tbl>
      <w:tblPr>
        <w:tblW w:w="9639"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2383"/>
        <w:gridCol w:w="3352"/>
        <w:gridCol w:w="3904"/>
      </w:tblGrid>
      <w:tr w:rsidR="00D5104A" w14:paraId="4058B280" w14:textId="77777777" w:rsidTr="006C2FC3">
        <w:trPr>
          <w:trHeight w:hRule="exact" w:val="1418"/>
        </w:trPr>
        <w:tc>
          <w:tcPr>
            <w:tcW w:w="5735" w:type="dxa"/>
            <w:gridSpan w:val="2"/>
            <w:tcBorders>
              <w:top w:val="single" w:sz="12" w:space="0" w:color="auto"/>
              <w:left w:val="single" w:sz="12" w:space="0" w:color="auto"/>
              <w:bottom w:val="single" w:sz="2" w:space="0" w:color="auto"/>
              <w:right w:val="nil"/>
            </w:tcBorders>
            <w:vAlign w:val="center"/>
          </w:tcPr>
          <w:p w14:paraId="5B8575EC" w14:textId="77777777" w:rsidR="00D5104A" w:rsidRDefault="00D5104A" w:rsidP="00D5104A">
            <w:pPr>
              <w:tabs>
                <w:tab w:val="left" w:pos="285"/>
              </w:tabs>
              <w:spacing w:line="240" w:lineRule="auto"/>
            </w:pPr>
            <w:r>
              <w:tab/>
            </w:r>
            <w:r>
              <w:rPr>
                <w:noProof/>
              </w:rPr>
              <w:drawing>
                <wp:inline distT="0" distB="0" distL="0" distR="0" wp14:anchorId="0BAC5720" wp14:editId="6D971BBF">
                  <wp:extent cx="1676400" cy="447675"/>
                  <wp:effectExtent l="0" t="0" r="0" b="9525"/>
                  <wp:docPr id="17" name="obrázek 17" descr="AQP_logo_emf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AQP_logo_emf_smal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76400" cy="447675"/>
                          </a:xfrm>
                          <a:prstGeom prst="rect">
                            <a:avLst/>
                          </a:prstGeom>
                          <a:noFill/>
                          <a:ln>
                            <a:noFill/>
                          </a:ln>
                        </pic:spPr>
                      </pic:pic>
                    </a:graphicData>
                  </a:graphic>
                </wp:inline>
              </w:drawing>
            </w:r>
          </w:p>
        </w:tc>
        <w:tc>
          <w:tcPr>
            <w:tcW w:w="3904" w:type="dxa"/>
            <w:tcBorders>
              <w:top w:val="single" w:sz="12" w:space="0" w:color="auto"/>
              <w:left w:val="nil"/>
              <w:bottom w:val="single" w:sz="2" w:space="0" w:color="auto"/>
              <w:right w:val="single" w:sz="12" w:space="0" w:color="auto"/>
            </w:tcBorders>
            <w:vAlign w:val="center"/>
          </w:tcPr>
          <w:p w14:paraId="2A09D1C0" w14:textId="77777777" w:rsidR="00D5104A" w:rsidRDefault="00D5104A" w:rsidP="00D5104A">
            <w:pPr>
              <w:pStyle w:val="Firma"/>
              <w:spacing w:line="240" w:lineRule="auto"/>
              <w:rPr>
                <w:rFonts w:ascii="Arial Black" w:hAnsi="Arial Black" w:cs="Arial Black"/>
                <w:b/>
                <w:bCs/>
                <w:sz w:val="22"/>
                <w:szCs w:val="22"/>
              </w:rPr>
            </w:pPr>
            <w:r>
              <w:rPr>
                <w:rFonts w:ascii="Arial Black" w:hAnsi="Arial Black" w:cs="Arial Black"/>
                <w:b/>
                <w:bCs/>
                <w:sz w:val="22"/>
                <w:szCs w:val="22"/>
              </w:rPr>
              <w:t>AQUA PROCON s.r.o.</w:t>
            </w:r>
          </w:p>
          <w:p w14:paraId="55C0859F" w14:textId="77777777" w:rsidR="00D5104A" w:rsidRDefault="00D5104A" w:rsidP="00D5104A">
            <w:pPr>
              <w:pStyle w:val="Firma"/>
              <w:spacing w:line="240" w:lineRule="auto"/>
            </w:pPr>
            <w:r>
              <w:t xml:space="preserve">Projektová a inženýrská společnost </w:t>
            </w:r>
          </w:p>
          <w:p w14:paraId="55D2FA8E" w14:textId="77777777" w:rsidR="00D5104A" w:rsidRDefault="00D5104A" w:rsidP="00D5104A">
            <w:pPr>
              <w:pStyle w:val="Firma"/>
              <w:spacing w:line="240" w:lineRule="auto"/>
            </w:pPr>
            <w:r>
              <w:t>Palackého tř. 12, 612 00 Brno</w:t>
            </w:r>
          </w:p>
          <w:p w14:paraId="19E2F29A" w14:textId="77777777" w:rsidR="00D5104A" w:rsidRDefault="00D5104A" w:rsidP="00D5104A">
            <w:pPr>
              <w:pStyle w:val="Firma"/>
              <w:spacing w:line="240" w:lineRule="auto"/>
              <w:rPr>
                <w:sz w:val="16"/>
                <w:szCs w:val="16"/>
              </w:rPr>
            </w:pPr>
            <w:r>
              <w:rPr>
                <w:sz w:val="16"/>
                <w:szCs w:val="16"/>
              </w:rPr>
              <w:t>tel.: +420 541 426 011</w:t>
            </w:r>
          </w:p>
          <w:p w14:paraId="3281CFB1" w14:textId="77777777" w:rsidR="00D5104A" w:rsidRDefault="00D5104A" w:rsidP="00D5104A">
            <w:pPr>
              <w:pStyle w:val="Firma"/>
              <w:spacing w:line="240" w:lineRule="auto"/>
              <w:rPr>
                <w:sz w:val="16"/>
                <w:szCs w:val="16"/>
              </w:rPr>
            </w:pPr>
            <w:r>
              <w:rPr>
                <w:sz w:val="16"/>
                <w:szCs w:val="16"/>
              </w:rPr>
              <w:t>E-mail: info@aquaprocon.cz</w:t>
            </w:r>
          </w:p>
          <w:p w14:paraId="390999A9" w14:textId="77777777" w:rsidR="00D5104A" w:rsidRDefault="00D5104A" w:rsidP="00D5104A">
            <w:pPr>
              <w:pStyle w:val="Firma"/>
              <w:spacing w:line="240" w:lineRule="auto"/>
            </w:pPr>
            <w:r>
              <w:rPr>
                <w:sz w:val="16"/>
                <w:szCs w:val="16"/>
              </w:rPr>
              <w:t>www.aquaprocon.cz</w:t>
            </w:r>
          </w:p>
        </w:tc>
      </w:tr>
      <w:tr w:rsidR="00D5104A" w14:paraId="22821C31" w14:textId="77777777" w:rsidTr="006C2FC3">
        <w:trPr>
          <w:trHeight w:val="312"/>
        </w:trPr>
        <w:tc>
          <w:tcPr>
            <w:tcW w:w="2383" w:type="dxa"/>
            <w:tcBorders>
              <w:top w:val="single" w:sz="2" w:space="0" w:color="auto"/>
              <w:left w:val="single" w:sz="12" w:space="0" w:color="auto"/>
              <w:bottom w:val="single" w:sz="2" w:space="0" w:color="C0C0C0"/>
              <w:right w:val="nil"/>
            </w:tcBorders>
            <w:vAlign w:val="center"/>
          </w:tcPr>
          <w:p w14:paraId="25C4A4A1" w14:textId="77777777" w:rsidR="00D5104A" w:rsidRDefault="00D5104A" w:rsidP="00D5104A">
            <w:pPr>
              <w:pStyle w:val="Popisektabulky"/>
              <w:spacing w:line="240" w:lineRule="auto"/>
            </w:pPr>
            <w:r>
              <w:t>Vedoucí projektu</w:t>
            </w:r>
          </w:p>
        </w:tc>
        <w:bookmarkStart w:id="0" w:name="vedouci_projektu"/>
        <w:tc>
          <w:tcPr>
            <w:tcW w:w="7256" w:type="dxa"/>
            <w:gridSpan w:val="2"/>
            <w:tcBorders>
              <w:top w:val="single" w:sz="2" w:space="0" w:color="auto"/>
              <w:left w:val="nil"/>
              <w:bottom w:val="single" w:sz="2" w:space="0" w:color="C0C0C0"/>
              <w:right w:val="single" w:sz="12" w:space="0" w:color="auto"/>
            </w:tcBorders>
            <w:vAlign w:val="center"/>
          </w:tcPr>
          <w:p w14:paraId="03EC7CF3" w14:textId="77777777" w:rsidR="00D5104A" w:rsidRDefault="00D5104A" w:rsidP="00D5104A">
            <w:pPr>
              <w:spacing w:line="240" w:lineRule="auto"/>
            </w:pPr>
            <w:r>
              <w:fldChar w:fldCharType="begin">
                <w:ffData>
                  <w:name w:val="vedouci_projektu"/>
                  <w:enabled/>
                  <w:calcOnExit w:val="0"/>
                  <w:textInput>
                    <w:default w:val="Ing. Petr Baránek"/>
                  </w:textInput>
                </w:ffData>
              </w:fldChar>
            </w:r>
            <w:r>
              <w:instrText xml:space="preserve"> FORMTEXT </w:instrText>
            </w:r>
            <w:r>
              <w:fldChar w:fldCharType="separate"/>
            </w:r>
            <w:r>
              <w:t>Ing. Petr Baránek</w:t>
            </w:r>
            <w:r>
              <w:fldChar w:fldCharType="end"/>
            </w:r>
            <w:bookmarkEnd w:id="0"/>
          </w:p>
        </w:tc>
      </w:tr>
      <w:tr w:rsidR="00D5104A" w14:paraId="54751FAB" w14:textId="77777777" w:rsidTr="006C2FC3">
        <w:trPr>
          <w:trHeight w:val="312"/>
        </w:trPr>
        <w:tc>
          <w:tcPr>
            <w:tcW w:w="2383" w:type="dxa"/>
            <w:tcBorders>
              <w:top w:val="single" w:sz="2" w:space="0" w:color="C0C0C0"/>
              <w:left w:val="single" w:sz="12" w:space="0" w:color="auto"/>
              <w:bottom w:val="single" w:sz="2" w:space="0" w:color="C0C0C0"/>
              <w:right w:val="nil"/>
            </w:tcBorders>
            <w:vAlign w:val="center"/>
          </w:tcPr>
          <w:p w14:paraId="74805A31" w14:textId="77777777" w:rsidR="00D5104A" w:rsidRDefault="00D5104A" w:rsidP="00D5104A">
            <w:pPr>
              <w:pStyle w:val="Popisektabulky"/>
              <w:spacing w:line="240" w:lineRule="auto"/>
            </w:pPr>
            <w:r>
              <w:t>Vedoucí dílčího projektu</w:t>
            </w:r>
          </w:p>
        </w:tc>
        <w:bookmarkStart w:id="1" w:name="zastupce_projektu"/>
        <w:tc>
          <w:tcPr>
            <w:tcW w:w="7256" w:type="dxa"/>
            <w:gridSpan w:val="2"/>
            <w:tcBorders>
              <w:top w:val="single" w:sz="2" w:space="0" w:color="C0C0C0"/>
              <w:left w:val="nil"/>
              <w:bottom w:val="single" w:sz="2" w:space="0" w:color="C0C0C0"/>
              <w:right w:val="single" w:sz="12" w:space="0" w:color="auto"/>
            </w:tcBorders>
            <w:vAlign w:val="center"/>
          </w:tcPr>
          <w:p w14:paraId="7B10F432" w14:textId="77777777" w:rsidR="00D5104A" w:rsidRDefault="00D5104A" w:rsidP="00D5104A">
            <w:pPr>
              <w:spacing w:line="240" w:lineRule="auto"/>
            </w:pPr>
            <w:r>
              <w:fldChar w:fldCharType="begin">
                <w:ffData>
                  <w:name w:val="zastupce_projektu"/>
                  <w:enabled/>
                  <w:calcOnExit w:val="0"/>
                  <w:textInput/>
                </w:ffData>
              </w:fldChar>
            </w:r>
            <w:r>
              <w:instrText xml:space="preserve"> FORMTEXT </w:instrText>
            </w:r>
            <w:r w:rsidR="00B04B88">
              <w:fldChar w:fldCharType="separate"/>
            </w:r>
            <w:r>
              <w:fldChar w:fldCharType="end"/>
            </w:r>
            <w:bookmarkEnd w:id="1"/>
          </w:p>
        </w:tc>
      </w:tr>
      <w:tr w:rsidR="00D5104A" w14:paraId="32557A07" w14:textId="77777777" w:rsidTr="006C2FC3">
        <w:trPr>
          <w:trHeight w:val="312"/>
        </w:trPr>
        <w:tc>
          <w:tcPr>
            <w:tcW w:w="2383" w:type="dxa"/>
            <w:tcBorders>
              <w:top w:val="single" w:sz="2" w:space="0" w:color="C0C0C0"/>
              <w:left w:val="single" w:sz="12" w:space="0" w:color="auto"/>
              <w:bottom w:val="single" w:sz="2" w:space="0" w:color="C0C0C0"/>
              <w:right w:val="nil"/>
            </w:tcBorders>
            <w:vAlign w:val="center"/>
          </w:tcPr>
          <w:p w14:paraId="2C4CC68D" w14:textId="77777777" w:rsidR="00D5104A" w:rsidRDefault="00D5104A" w:rsidP="00D5104A">
            <w:pPr>
              <w:pStyle w:val="Popisektabulky"/>
              <w:spacing w:line="240" w:lineRule="auto"/>
            </w:pPr>
            <w:r>
              <w:t>Zodpovědný projektant</w:t>
            </w:r>
          </w:p>
        </w:tc>
        <w:bookmarkStart w:id="2" w:name="zodp_projektant"/>
        <w:tc>
          <w:tcPr>
            <w:tcW w:w="7256" w:type="dxa"/>
            <w:gridSpan w:val="2"/>
            <w:tcBorders>
              <w:top w:val="single" w:sz="2" w:space="0" w:color="C0C0C0"/>
              <w:left w:val="nil"/>
              <w:bottom w:val="single" w:sz="2" w:space="0" w:color="C0C0C0"/>
              <w:right w:val="single" w:sz="12" w:space="0" w:color="auto"/>
            </w:tcBorders>
            <w:vAlign w:val="center"/>
          </w:tcPr>
          <w:p w14:paraId="1869EA7D" w14:textId="77777777" w:rsidR="00D5104A" w:rsidRDefault="00D5104A" w:rsidP="00D5104A">
            <w:pPr>
              <w:spacing w:line="240" w:lineRule="auto"/>
            </w:pPr>
            <w:r>
              <w:fldChar w:fldCharType="begin">
                <w:ffData>
                  <w:name w:val="zodp_projektant"/>
                  <w:enabled/>
                  <w:calcOnExit w:val="0"/>
                  <w:textInput>
                    <w:default w:val="Bc. Štěpán Vlach"/>
                  </w:textInput>
                </w:ffData>
              </w:fldChar>
            </w:r>
            <w:r>
              <w:instrText xml:space="preserve"> FORMTEXT </w:instrText>
            </w:r>
            <w:r>
              <w:fldChar w:fldCharType="separate"/>
            </w:r>
            <w:r>
              <w:t>Bc. Štěpán Vlach</w:t>
            </w:r>
            <w:r>
              <w:fldChar w:fldCharType="end"/>
            </w:r>
            <w:bookmarkEnd w:id="2"/>
          </w:p>
        </w:tc>
      </w:tr>
      <w:tr w:rsidR="00D5104A" w14:paraId="538100C5" w14:textId="77777777" w:rsidTr="006C2FC3">
        <w:trPr>
          <w:trHeight w:val="312"/>
        </w:trPr>
        <w:tc>
          <w:tcPr>
            <w:tcW w:w="2383" w:type="dxa"/>
            <w:tcBorders>
              <w:top w:val="single" w:sz="2" w:space="0" w:color="C0C0C0"/>
              <w:left w:val="single" w:sz="12" w:space="0" w:color="auto"/>
              <w:bottom w:val="single" w:sz="2" w:space="0" w:color="C0C0C0"/>
              <w:right w:val="nil"/>
            </w:tcBorders>
            <w:vAlign w:val="center"/>
          </w:tcPr>
          <w:p w14:paraId="1437365D" w14:textId="77777777" w:rsidR="00D5104A" w:rsidRDefault="00D5104A" w:rsidP="00D5104A">
            <w:pPr>
              <w:pStyle w:val="Popisektabulky"/>
              <w:spacing w:line="240" w:lineRule="auto"/>
            </w:pPr>
            <w:r>
              <w:t>Vypracoval</w:t>
            </w:r>
          </w:p>
        </w:tc>
        <w:bookmarkStart w:id="3" w:name="vypracoval"/>
        <w:tc>
          <w:tcPr>
            <w:tcW w:w="7256" w:type="dxa"/>
            <w:gridSpan w:val="2"/>
            <w:tcBorders>
              <w:top w:val="single" w:sz="2" w:space="0" w:color="C0C0C0"/>
              <w:left w:val="nil"/>
              <w:bottom w:val="single" w:sz="2" w:space="0" w:color="C0C0C0"/>
              <w:right w:val="single" w:sz="12" w:space="0" w:color="auto"/>
            </w:tcBorders>
            <w:vAlign w:val="center"/>
          </w:tcPr>
          <w:p w14:paraId="252D3CC4" w14:textId="77777777" w:rsidR="00D5104A" w:rsidRDefault="00D5104A" w:rsidP="00D5104A">
            <w:pPr>
              <w:spacing w:line="240" w:lineRule="auto"/>
            </w:pPr>
            <w:r>
              <w:fldChar w:fldCharType="begin">
                <w:ffData>
                  <w:name w:val="vypracoval"/>
                  <w:enabled/>
                  <w:calcOnExit w:val="0"/>
                  <w:textInput>
                    <w:default w:val="Bc. Štěpán Vlach"/>
                  </w:textInput>
                </w:ffData>
              </w:fldChar>
            </w:r>
            <w:r>
              <w:instrText xml:space="preserve"> FORMTEXT </w:instrText>
            </w:r>
            <w:r>
              <w:fldChar w:fldCharType="separate"/>
            </w:r>
            <w:r>
              <w:t>Bc. Štěpán Vlach</w:t>
            </w:r>
            <w:r>
              <w:fldChar w:fldCharType="end"/>
            </w:r>
            <w:bookmarkEnd w:id="3"/>
          </w:p>
        </w:tc>
      </w:tr>
      <w:tr w:rsidR="00D5104A" w14:paraId="33B61142" w14:textId="77777777" w:rsidTr="006C2FC3">
        <w:trPr>
          <w:trHeight w:val="312"/>
        </w:trPr>
        <w:tc>
          <w:tcPr>
            <w:tcW w:w="2383" w:type="dxa"/>
            <w:tcBorders>
              <w:top w:val="single" w:sz="2" w:space="0" w:color="C0C0C0"/>
              <w:left w:val="single" w:sz="12" w:space="0" w:color="auto"/>
              <w:bottom w:val="single" w:sz="12" w:space="0" w:color="auto"/>
              <w:right w:val="nil"/>
            </w:tcBorders>
            <w:vAlign w:val="center"/>
          </w:tcPr>
          <w:p w14:paraId="1707700B" w14:textId="77777777" w:rsidR="00D5104A" w:rsidRDefault="00D5104A" w:rsidP="00D5104A">
            <w:pPr>
              <w:pStyle w:val="Popisektabulky"/>
              <w:spacing w:line="240" w:lineRule="auto"/>
            </w:pPr>
            <w:r>
              <w:t>Kontroloval</w:t>
            </w:r>
          </w:p>
        </w:tc>
        <w:bookmarkStart w:id="4" w:name="kontroloval"/>
        <w:tc>
          <w:tcPr>
            <w:tcW w:w="7256" w:type="dxa"/>
            <w:gridSpan w:val="2"/>
            <w:tcBorders>
              <w:top w:val="single" w:sz="2" w:space="0" w:color="C0C0C0"/>
              <w:left w:val="nil"/>
              <w:bottom w:val="single" w:sz="12" w:space="0" w:color="auto"/>
              <w:right w:val="single" w:sz="12" w:space="0" w:color="auto"/>
            </w:tcBorders>
            <w:vAlign w:val="center"/>
          </w:tcPr>
          <w:p w14:paraId="13620DBF" w14:textId="77777777" w:rsidR="00D5104A" w:rsidRDefault="00D5104A" w:rsidP="00D5104A">
            <w:pPr>
              <w:spacing w:line="240" w:lineRule="auto"/>
            </w:pPr>
            <w:r>
              <w:fldChar w:fldCharType="begin">
                <w:ffData>
                  <w:name w:val="kontroloval"/>
                  <w:enabled/>
                  <w:calcOnExit w:val="0"/>
                  <w:textInput>
                    <w:default w:val="Ing. Vlastislav Kolečkář"/>
                  </w:textInput>
                </w:ffData>
              </w:fldChar>
            </w:r>
            <w:r>
              <w:instrText xml:space="preserve"> FORMTEXT </w:instrText>
            </w:r>
            <w:r>
              <w:fldChar w:fldCharType="separate"/>
            </w:r>
            <w:r>
              <w:t>Ing. Vlastislav Kolečkář</w:t>
            </w:r>
            <w:r>
              <w:fldChar w:fldCharType="end"/>
            </w:r>
            <w:bookmarkEnd w:id="4"/>
          </w:p>
        </w:tc>
      </w:tr>
    </w:tbl>
    <w:p w14:paraId="6AC0E5A5" w14:textId="77777777" w:rsidR="00D5104A" w:rsidRDefault="00D5104A" w:rsidP="00D5104A">
      <w:pPr>
        <w:spacing w:line="240" w:lineRule="auto"/>
      </w:pPr>
    </w:p>
    <w:tbl>
      <w:tblPr>
        <w:tblW w:w="9639" w:type="dxa"/>
        <w:tblInd w:w="-55" w:type="dxa"/>
        <w:tblBorders>
          <w:top w:val="single" w:sz="12" w:space="0" w:color="auto"/>
          <w:left w:val="single" w:sz="12" w:space="0" w:color="auto"/>
          <w:bottom w:val="single" w:sz="12" w:space="0" w:color="auto"/>
          <w:right w:val="single" w:sz="12" w:space="0" w:color="auto"/>
          <w:insideH w:val="single" w:sz="2" w:space="0" w:color="C0C0C0"/>
        </w:tblBorders>
        <w:tblLayout w:type="fixed"/>
        <w:tblCellMar>
          <w:left w:w="57" w:type="dxa"/>
          <w:right w:w="57" w:type="dxa"/>
        </w:tblCellMar>
        <w:tblLook w:val="00A0" w:firstRow="1" w:lastRow="0" w:firstColumn="1" w:lastColumn="0" w:noHBand="0" w:noVBand="0"/>
      </w:tblPr>
      <w:tblGrid>
        <w:gridCol w:w="999"/>
        <w:gridCol w:w="8640"/>
      </w:tblGrid>
      <w:tr w:rsidR="00D5104A" w14:paraId="16167BB2" w14:textId="77777777" w:rsidTr="006C2FC3">
        <w:trPr>
          <w:trHeight w:val="284"/>
        </w:trPr>
        <w:tc>
          <w:tcPr>
            <w:tcW w:w="999" w:type="dxa"/>
            <w:tcBorders>
              <w:top w:val="single" w:sz="12" w:space="0" w:color="auto"/>
            </w:tcBorders>
            <w:vAlign w:val="center"/>
          </w:tcPr>
          <w:p w14:paraId="0536CE86" w14:textId="77777777" w:rsidR="00D5104A" w:rsidRDefault="00D5104A" w:rsidP="00D5104A">
            <w:pPr>
              <w:pStyle w:val="Popisektabulky"/>
              <w:spacing w:line="240" w:lineRule="auto"/>
            </w:pPr>
            <w:r>
              <w:t>Investor</w:t>
            </w:r>
          </w:p>
        </w:tc>
        <w:bookmarkStart w:id="5" w:name="Investor"/>
        <w:tc>
          <w:tcPr>
            <w:tcW w:w="8640" w:type="dxa"/>
            <w:tcBorders>
              <w:top w:val="single" w:sz="12" w:space="0" w:color="auto"/>
            </w:tcBorders>
            <w:vAlign w:val="center"/>
          </w:tcPr>
          <w:p w14:paraId="229DAD85" w14:textId="77777777" w:rsidR="00D5104A" w:rsidRDefault="00D5104A" w:rsidP="00D5104A">
            <w:pPr>
              <w:pStyle w:val="dajtabulky"/>
              <w:spacing w:line="240" w:lineRule="auto"/>
            </w:pPr>
            <w:r>
              <w:fldChar w:fldCharType="begin">
                <w:ffData>
                  <w:name w:val="Investor"/>
                  <w:enabled/>
                  <w:calcOnExit w:val="0"/>
                  <w:textInput>
                    <w:default w:val="Statutární město Brno, Dominikánské nám. 196/1, 602 00 Brno"/>
                  </w:textInput>
                </w:ffData>
              </w:fldChar>
            </w:r>
            <w:r>
              <w:instrText xml:space="preserve"> FORMTEXT </w:instrText>
            </w:r>
            <w:r>
              <w:fldChar w:fldCharType="separate"/>
            </w:r>
            <w:r>
              <w:t>Statutární město Brno, Dominikánské nám. 196/1, 602 00 Brno</w:t>
            </w:r>
            <w:r>
              <w:fldChar w:fldCharType="end"/>
            </w:r>
            <w:bookmarkEnd w:id="5"/>
          </w:p>
        </w:tc>
      </w:tr>
      <w:tr w:rsidR="00D5104A" w14:paraId="3570FC13" w14:textId="77777777" w:rsidTr="006C2FC3">
        <w:trPr>
          <w:trHeight w:val="284"/>
        </w:trPr>
        <w:tc>
          <w:tcPr>
            <w:tcW w:w="999" w:type="dxa"/>
            <w:tcBorders>
              <w:bottom w:val="single" w:sz="12" w:space="0" w:color="auto"/>
            </w:tcBorders>
            <w:vAlign w:val="center"/>
          </w:tcPr>
          <w:p w14:paraId="77940DDD" w14:textId="77777777" w:rsidR="00D5104A" w:rsidRDefault="00D5104A" w:rsidP="00D5104A">
            <w:pPr>
              <w:pStyle w:val="Popisektabulky"/>
              <w:spacing w:line="240" w:lineRule="auto"/>
            </w:pPr>
            <w:r>
              <w:t>Objednatel</w:t>
            </w:r>
          </w:p>
        </w:tc>
        <w:bookmarkStart w:id="6" w:name="Objednatel"/>
        <w:tc>
          <w:tcPr>
            <w:tcW w:w="8640" w:type="dxa"/>
            <w:tcBorders>
              <w:bottom w:val="single" w:sz="12" w:space="0" w:color="auto"/>
            </w:tcBorders>
            <w:vAlign w:val="center"/>
          </w:tcPr>
          <w:p w14:paraId="05E4CBF4" w14:textId="77777777" w:rsidR="00D5104A" w:rsidRDefault="00D5104A" w:rsidP="00D5104A">
            <w:pPr>
              <w:pStyle w:val="dajtabulky"/>
              <w:spacing w:line="240" w:lineRule="auto"/>
            </w:pPr>
            <w:r>
              <w:fldChar w:fldCharType="begin">
                <w:ffData>
                  <w:name w:val="Objednatel"/>
                  <w:enabled/>
                  <w:calcOnExit w:val="0"/>
                  <w:textInput>
                    <w:default w:val="Statutární město Brno, Dominikánské nám. 196/1, 602 00 Brno"/>
                  </w:textInput>
                </w:ffData>
              </w:fldChar>
            </w:r>
            <w:r>
              <w:instrText xml:space="preserve"> FORMTEXT </w:instrText>
            </w:r>
            <w:r>
              <w:fldChar w:fldCharType="separate"/>
            </w:r>
            <w:r>
              <w:t>Statutární město Brno, Dominikánské nám. 196/1, 602 00 Brno</w:t>
            </w:r>
            <w:r>
              <w:fldChar w:fldCharType="end"/>
            </w:r>
            <w:bookmarkEnd w:id="6"/>
          </w:p>
        </w:tc>
      </w:tr>
    </w:tbl>
    <w:p w14:paraId="4A8333BA" w14:textId="77777777" w:rsidR="00D5104A" w:rsidRDefault="00D5104A" w:rsidP="00D5104A">
      <w:pPr>
        <w:spacing w:line="240" w:lineRule="auto"/>
      </w:pPr>
    </w:p>
    <w:tbl>
      <w:tblPr>
        <w:tblW w:w="9639" w:type="dxa"/>
        <w:tblInd w:w="-55" w:type="dxa"/>
        <w:tblBorders>
          <w:top w:val="single" w:sz="12" w:space="0" w:color="auto"/>
          <w:left w:val="single" w:sz="12" w:space="0" w:color="auto"/>
          <w:bottom w:val="single" w:sz="12" w:space="0" w:color="auto"/>
          <w:right w:val="single" w:sz="12" w:space="0" w:color="auto"/>
          <w:insideH w:val="single" w:sz="2" w:space="0" w:color="C0C0C0"/>
        </w:tblBorders>
        <w:tblLayout w:type="fixed"/>
        <w:tblCellMar>
          <w:left w:w="57" w:type="dxa"/>
          <w:right w:w="57" w:type="dxa"/>
        </w:tblCellMar>
        <w:tblLook w:val="00A0" w:firstRow="1" w:lastRow="0" w:firstColumn="1" w:lastColumn="0" w:noHBand="0" w:noVBand="0"/>
      </w:tblPr>
      <w:tblGrid>
        <w:gridCol w:w="995"/>
        <w:gridCol w:w="709"/>
        <w:gridCol w:w="676"/>
        <w:gridCol w:w="1050"/>
        <w:gridCol w:w="651"/>
        <w:gridCol w:w="1035"/>
        <w:gridCol w:w="666"/>
        <w:gridCol w:w="1295"/>
        <w:gridCol w:w="1257"/>
        <w:gridCol w:w="1305"/>
      </w:tblGrid>
      <w:tr w:rsidR="00D5104A" w14:paraId="1A205A19" w14:textId="77777777" w:rsidTr="006C2FC3">
        <w:trPr>
          <w:trHeight w:val="284"/>
        </w:trPr>
        <w:tc>
          <w:tcPr>
            <w:tcW w:w="995" w:type="dxa"/>
            <w:tcBorders>
              <w:top w:val="single" w:sz="12" w:space="0" w:color="auto"/>
              <w:bottom w:val="single" w:sz="12" w:space="0" w:color="auto"/>
            </w:tcBorders>
            <w:vAlign w:val="center"/>
          </w:tcPr>
          <w:p w14:paraId="266443B5" w14:textId="77777777" w:rsidR="00D5104A" w:rsidRDefault="00D5104A" w:rsidP="00D5104A">
            <w:pPr>
              <w:pStyle w:val="Popisektabulky"/>
              <w:spacing w:line="240" w:lineRule="auto"/>
            </w:pPr>
            <w:r>
              <w:t>Formát</w:t>
            </w:r>
          </w:p>
        </w:tc>
        <w:tc>
          <w:tcPr>
            <w:tcW w:w="709" w:type="dxa"/>
            <w:tcBorders>
              <w:top w:val="single" w:sz="12" w:space="0" w:color="auto"/>
              <w:bottom w:val="single" w:sz="12" w:space="0" w:color="auto"/>
              <w:right w:val="single" w:sz="2" w:space="0" w:color="auto"/>
            </w:tcBorders>
            <w:vAlign w:val="center"/>
          </w:tcPr>
          <w:p w14:paraId="6F864820" w14:textId="3887F87C" w:rsidR="00D5104A" w:rsidRDefault="00D5104A" w:rsidP="00D5104A">
            <w:pPr>
              <w:pStyle w:val="dajtabulky"/>
              <w:spacing w:line="240" w:lineRule="auto"/>
            </w:pPr>
            <w:r>
              <w:t>A4</w:t>
            </w:r>
          </w:p>
        </w:tc>
        <w:tc>
          <w:tcPr>
            <w:tcW w:w="676" w:type="dxa"/>
            <w:tcBorders>
              <w:top w:val="single" w:sz="12" w:space="0" w:color="auto"/>
              <w:left w:val="single" w:sz="2" w:space="0" w:color="auto"/>
              <w:bottom w:val="single" w:sz="12" w:space="0" w:color="auto"/>
            </w:tcBorders>
            <w:vAlign w:val="center"/>
          </w:tcPr>
          <w:p w14:paraId="0D89D782" w14:textId="77777777" w:rsidR="00D5104A" w:rsidRDefault="00D5104A" w:rsidP="00D5104A">
            <w:pPr>
              <w:pStyle w:val="Popisektabulky"/>
              <w:spacing w:line="240" w:lineRule="auto"/>
            </w:pPr>
            <w:r>
              <w:t>Měřítko</w:t>
            </w:r>
          </w:p>
        </w:tc>
        <w:bookmarkStart w:id="7" w:name="Meritko"/>
        <w:tc>
          <w:tcPr>
            <w:tcW w:w="1050" w:type="dxa"/>
            <w:tcBorders>
              <w:top w:val="single" w:sz="12" w:space="0" w:color="auto"/>
              <w:bottom w:val="single" w:sz="12" w:space="0" w:color="auto"/>
              <w:right w:val="single" w:sz="2" w:space="0" w:color="auto"/>
            </w:tcBorders>
            <w:vAlign w:val="center"/>
          </w:tcPr>
          <w:p w14:paraId="7C1D4EA5" w14:textId="77777777" w:rsidR="00D5104A" w:rsidRDefault="00D5104A" w:rsidP="00D5104A">
            <w:pPr>
              <w:pStyle w:val="dajtabulky"/>
              <w:spacing w:line="240" w:lineRule="auto"/>
            </w:pPr>
            <w:r>
              <w:fldChar w:fldCharType="begin">
                <w:ffData>
                  <w:name w:val="Meritko"/>
                  <w:enabled/>
                  <w:calcOnExit w:val="0"/>
                  <w:textInput>
                    <w:default w:val="-"/>
                  </w:textInput>
                </w:ffData>
              </w:fldChar>
            </w:r>
            <w:r>
              <w:instrText xml:space="preserve"> FORMTEXT </w:instrText>
            </w:r>
            <w:r>
              <w:fldChar w:fldCharType="separate"/>
            </w:r>
            <w:r>
              <w:t>-</w:t>
            </w:r>
            <w:r>
              <w:fldChar w:fldCharType="end"/>
            </w:r>
            <w:bookmarkEnd w:id="7"/>
          </w:p>
        </w:tc>
        <w:tc>
          <w:tcPr>
            <w:tcW w:w="651" w:type="dxa"/>
            <w:tcBorders>
              <w:top w:val="single" w:sz="12" w:space="0" w:color="auto"/>
              <w:left w:val="single" w:sz="2" w:space="0" w:color="auto"/>
              <w:bottom w:val="single" w:sz="12" w:space="0" w:color="auto"/>
            </w:tcBorders>
            <w:vAlign w:val="center"/>
          </w:tcPr>
          <w:p w14:paraId="0B5F0788" w14:textId="77777777" w:rsidR="00D5104A" w:rsidRDefault="00D5104A" w:rsidP="00D5104A">
            <w:pPr>
              <w:pStyle w:val="Popisektabulky"/>
              <w:spacing w:line="240" w:lineRule="auto"/>
            </w:pPr>
            <w:r>
              <w:t>Stupeň</w:t>
            </w:r>
          </w:p>
        </w:tc>
        <w:bookmarkStart w:id="8" w:name="Stupen"/>
        <w:tc>
          <w:tcPr>
            <w:tcW w:w="1035" w:type="dxa"/>
            <w:tcBorders>
              <w:top w:val="single" w:sz="12" w:space="0" w:color="auto"/>
              <w:bottom w:val="single" w:sz="12" w:space="0" w:color="auto"/>
              <w:right w:val="single" w:sz="2" w:space="0" w:color="auto"/>
            </w:tcBorders>
            <w:vAlign w:val="center"/>
          </w:tcPr>
          <w:p w14:paraId="57B09BFC" w14:textId="77777777" w:rsidR="00D5104A" w:rsidRDefault="00D5104A" w:rsidP="00D5104A">
            <w:pPr>
              <w:pStyle w:val="dajtabulky"/>
              <w:spacing w:line="240" w:lineRule="auto"/>
            </w:pPr>
            <w:r>
              <w:fldChar w:fldCharType="begin">
                <w:ffData>
                  <w:name w:val="Stupen"/>
                  <w:enabled/>
                  <w:calcOnExit w:val="0"/>
                  <w:textInput>
                    <w:default w:val="DSP,DPS"/>
                  </w:textInput>
                </w:ffData>
              </w:fldChar>
            </w:r>
            <w:r>
              <w:instrText xml:space="preserve"> FORMTEXT </w:instrText>
            </w:r>
            <w:r>
              <w:fldChar w:fldCharType="separate"/>
            </w:r>
            <w:r>
              <w:t>DSP,DPS</w:t>
            </w:r>
            <w:r>
              <w:fldChar w:fldCharType="end"/>
            </w:r>
            <w:bookmarkEnd w:id="8"/>
          </w:p>
        </w:tc>
        <w:tc>
          <w:tcPr>
            <w:tcW w:w="666" w:type="dxa"/>
            <w:tcBorders>
              <w:top w:val="single" w:sz="12" w:space="0" w:color="auto"/>
              <w:left w:val="single" w:sz="2" w:space="0" w:color="auto"/>
              <w:bottom w:val="single" w:sz="12" w:space="0" w:color="auto"/>
            </w:tcBorders>
            <w:vAlign w:val="center"/>
          </w:tcPr>
          <w:p w14:paraId="2D5CF980" w14:textId="77777777" w:rsidR="00D5104A" w:rsidRDefault="00D5104A" w:rsidP="00D5104A">
            <w:pPr>
              <w:pStyle w:val="Popisektabulky"/>
              <w:spacing w:line="240" w:lineRule="auto"/>
            </w:pPr>
            <w:r>
              <w:t>Datum</w:t>
            </w:r>
          </w:p>
        </w:tc>
        <w:bookmarkStart w:id="9" w:name="Datum_hl"/>
        <w:tc>
          <w:tcPr>
            <w:tcW w:w="1295" w:type="dxa"/>
            <w:tcBorders>
              <w:top w:val="single" w:sz="12" w:space="0" w:color="auto"/>
              <w:bottom w:val="single" w:sz="12" w:space="0" w:color="auto"/>
              <w:right w:val="single" w:sz="2" w:space="0" w:color="auto"/>
            </w:tcBorders>
            <w:vAlign w:val="center"/>
          </w:tcPr>
          <w:p w14:paraId="62DC6D01" w14:textId="77777777" w:rsidR="00D5104A" w:rsidRDefault="00D5104A" w:rsidP="00D5104A">
            <w:pPr>
              <w:pStyle w:val="dajtabulky"/>
              <w:spacing w:line="240" w:lineRule="auto"/>
            </w:pPr>
            <w:r>
              <w:fldChar w:fldCharType="begin">
                <w:ffData>
                  <w:name w:val="Datum_hl"/>
                  <w:enabled/>
                  <w:calcOnExit w:val="0"/>
                  <w:textInput>
                    <w:default w:val="01/2021"/>
                  </w:textInput>
                </w:ffData>
              </w:fldChar>
            </w:r>
            <w:r>
              <w:instrText xml:space="preserve"> FORMTEXT </w:instrText>
            </w:r>
            <w:r>
              <w:fldChar w:fldCharType="separate"/>
            </w:r>
            <w:r>
              <w:t>01/2021</w:t>
            </w:r>
            <w:r>
              <w:fldChar w:fldCharType="end"/>
            </w:r>
            <w:bookmarkEnd w:id="9"/>
          </w:p>
        </w:tc>
        <w:tc>
          <w:tcPr>
            <w:tcW w:w="1257" w:type="dxa"/>
            <w:tcBorders>
              <w:top w:val="single" w:sz="12" w:space="0" w:color="auto"/>
              <w:left w:val="single" w:sz="2" w:space="0" w:color="auto"/>
              <w:bottom w:val="single" w:sz="12" w:space="0" w:color="auto"/>
            </w:tcBorders>
            <w:shd w:val="clear" w:color="auto" w:fill="E0E0E0"/>
            <w:vAlign w:val="center"/>
          </w:tcPr>
          <w:p w14:paraId="3D4EA079" w14:textId="77777777" w:rsidR="00D5104A" w:rsidRDefault="00D5104A" w:rsidP="00D5104A">
            <w:pPr>
              <w:pStyle w:val="Popisektabulky"/>
              <w:spacing w:line="240" w:lineRule="auto"/>
            </w:pPr>
            <w:r>
              <w:t>Zakázkové číslo</w:t>
            </w:r>
          </w:p>
        </w:tc>
        <w:bookmarkStart w:id="10" w:name="Zak_cislo"/>
        <w:tc>
          <w:tcPr>
            <w:tcW w:w="1305" w:type="dxa"/>
            <w:tcBorders>
              <w:top w:val="single" w:sz="12" w:space="0" w:color="auto"/>
              <w:bottom w:val="single" w:sz="12" w:space="0" w:color="auto"/>
            </w:tcBorders>
            <w:shd w:val="clear" w:color="auto" w:fill="E0E0E0"/>
            <w:vAlign w:val="center"/>
          </w:tcPr>
          <w:p w14:paraId="0C6F0505" w14:textId="77777777" w:rsidR="00D5104A" w:rsidRDefault="00D5104A" w:rsidP="00D5104A">
            <w:pPr>
              <w:pStyle w:val="dajtabulky"/>
              <w:spacing w:line="240" w:lineRule="auto"/>
              <w:rPr>
                <w:b/>
                <w:bCs/>
              </w:rPr>
            </w:pPr>
            <w:r>
              <w:rPr>
                <w:b/>
                <w:bCs/>
              </w:rPr>
              <w:fldChar w:fldCharType="begin">
                <w:ffData>
                  <w:name w:val="Zak_cislo"/>
                  <w:enabled/>
                  <w:calcOnExit w:val="0"/>
                  <w:textInput>
                    <w:default w:val="1533819-16"/>
                  </w:textInput>
                </w:ffData>
              </w:fldChar>
            </w:r>
            <w:r>
              <w:rPr>
                <w:b/>
                <w:bCs/>
              </w:rPr>
              <w:instrText xml:space="preserve"> FORMTEXT </w:instrText>
            </w:r>
            <w:r>
              <w:rPr>
                <w:b/>
                <w:bCs/>
              </w:rPr>
            </w:r>
            <w:r>
              <w:rPr>
                <w:b/>
                <w:bCs/>
              </w:rPr>
              <w:fldChar w:fldCharType="separate"/>
            </w:r>
            <w:r>
              <w:rPr>
                <w:b/>
                <w:bCs/>
              </w:rPr>
              <w:t>1533819-16</w:t>
            </w:r>
            <w:r>
              <w:rPr>
                <w:b/>
                <w:bCs/>
              </w:rPr>
              <w:fldChar w:fldCharType="end"/>
            </w:r>
            <w:bookmarkEnd w:id="10"/>
          </w:p>
        </w:tc>
      </w:tr>
    </w:tbl>
    <w:p w14:paraId="662D3D48" w14:textId="77777777" w:rsidR="00D5104A" w:rsidRDefault="00D5104A" w:rsidP="00D5104A">
      <w:pPr>
        <w:spacing w:line="240" w:lineRule="auto"/>
      </w:pPr>
    </w:p>
    <w:tbl>
      <w:tblPr>
        <w:tblW w:w="9639" w:type="dxa"/>
        <w:tblInd w:w="-55" w:type="dxa"/>
        <w:tblBorders>
          <w:top w:val="single" w:sz="12" w:space="0" w:color="auto"/>
          <w:left w:val="single" w:sz="12" w:space="0" w:color="auto"/>
          <w:bottom w:val="single" w:sz="12" w:space="0" w:color="auto"/>
          <w:right w:val="single" w:sz="12" w:space="0" w:color="auto"/>
        </w:tblBorders>
        <w:tblLayout w:type="fixed"/>
        <w:tblCellMar>
          <w:top w:w="57" w:type="dxa"/>
          <w:left w:w="57" w:type="dxa"/>
          <w:bottom w:w="57" w:type="dxa"/>
          <w:right w:w="57" w:type="dxa"/>
        </w:tblCellMar>
        <w:tblLook w:val="00A0" w:firstRow="1" w:lastRow="0" w:firstColumn="1" w:lastColumn="0" w:noHBand="0" w:noVBand="0"/>
      </w:tblPr>
      <w:tblGrid>
        <w:gridCol w:w="977"/>
        <w:gridCol w:w="6100"/>
        <w:gridCol w:w="900"/>
        <w:gridCol w:w="1073"/>
        <w:gridCol w:w="589"/>
      </w:tblGrid>
      <w:tr w:rsidR="00D5104A" w14:paraId="2FDB0D62" w14:textId="77777777" w:rsidTr="006C2FC3">
        <w:trPr>
          <w:trHeight w:val="340"/>
        </w:trPr>
        <w:tc>
          <w:tcPr>
            <w:tcW w:w="7077" w:type="dxa"/>
            <w:gridSpan w:val="2"/>
            <w:tcBorders>
              <w:top w:val="single" w:sz="12" w:space="0" w:color="auto"/>
              <w:bottom w:val="nil"/>
              <w:right w:val="nil"/>
            </w:tcBorders>
            <w:vAlign w:val="center"/>
          </w:tcPr>
          <w:p w14:paraId="7094E8F1" w14:textId="77777777" w:rsidR="00D5104A" w:rsidRDefault="00D5104A" w:rsidP="00D5104A">
            <w:pPr>
              <w:pStyle w:val="Popisektabulky"/>
              <w:spacing w:line="240" w:lineRule="auto"/>
            </w:pPr>
            <w:r>
              <w:t>Projekt</w:t>
            </w:r>
          </w:p>
        </w:tc>
        <w:tc>
          <w:tcPr>
            <w:tcW w:w="2562" w:type="dxa"/>
            <w:gridSpan w:val="3"/>
            <w:tcBorders>
              <w:top w:val="single" w:sz="12" w:space="0" w:color="auto"/>
              <w:left w:val="nil"/>
              <w:bottom w:val="nil"/>
            </w:tcBorders>
            <w:vAlign w:val="center"/>
          </w:tcPr>
          <w:p w14:paraId="1BB95413" w14:textId="77777777" w:rsidR="00D5104A" w:rsidRDefault="00D5104A" w:rsidP="00D5104A">
            <w:pPr>
              <w:pStyle w:val="Popisektabulky"/>
              <w:spacing w:line="240" w:lineRule="auto"/>
            </w:pPr>
          </w:p>
        </w:tc>
      </w:tr>
      <w:tr w:rsidR="00D5104A" w14:paraId="7FDDF4CD" w14:textId="77777777" w:rsidTr="006C2FC3">
        <w:trPr>
          <w:trHeight w:val="340"/>
        </w:trPr>
        <w:tc>
          <w:tcPr>
            <w:tcW w:w="977" w:type="dxa"/>
            <w:tcBorders>
              <w:top w:val="nil"/>
              <w:bottom w:val="nil"/>
              <w:right w:val="nil"/>
            </w:tcBorders>
            <w:vAlign w:val="center"/>
          </w:tcPr>
          <w:p w14:paraId="019D3016" w14:textId="77777777" w:rsidR="00D5104A" w:rsidRDefault="00D5104A" w:rsidP="00D5104A">
            <w:pPr>
              <w:pStyle w:val="Popisektabulky"/>
              <w:spacing w:line="240" w:lineRule="auto"/>
            </w:pPr>
          </w:p>
        </w:tc>
        <w:tc>
          <w:tcPr>
            <w:tcW w:w="7000" w:type="dxa"/>
            <w:gridSpan w:val="2"/>
            <w:vMerge w:val="restart"/>
            <w:tcBorders>
              <w:top w:val="nil"/>
              <w:left w:val="nil"/>
              <w:bottom w:val="nil"/>
              <w:right w:val="nil"/>
            </w:tcBorders>
          </w:tcPr>
          <w:p w14:paraId="064A7A69" w14:textId="77777777" w:rsidR="00D5104A" w:rsidRDefault="00D5104A" w:rsidP="00D5104A">
            <w:pPr>
              <w:pStyle w:val="Projekt"/>
              <w:spacing w:line="240" w:lineRule="auto"/>
            </w:pPr>
            <w:r>
              <w:t>BRNO, GAJDOŠOVA, OBSLUŽNÁ KOMUNIKACE - REKONSTRUKCE KANALIZACE A VODOVODU</w:t>
            </w:r>
          </w:p>
          <w:p w14:paraId="7246CD62" w14:textId="77777777" w:rsidR="00D5104A" w:rsidRDefault="00D5104A" w:rsidP="00D5104A">
            <w:pPr>
              <w:pStyle w:val="dajtabulky"/>
              <w:spacing w:line="240" w:lineRule="auto"/>
              <w:rPr>
                <w:sz w:val="28"/>
                <w:szCs w:val="28"/>
              </w:rPr>
            </w:pPr>
            <w:r>
              <w:rPr>
                <w:sz w:val="24"/>
                <w:szCs w:val="24"/>
              </w:rPr>
              <w:fldChar w:fldCharType="begin">
                <w:ffData>
                  <w:name w:val="Podprojekt"/>
                  <w:enabled/>
                  <w:calcOnExit w:val="0"/>
                  <w:textInput/>
                </w:ffData>
              </w:fldChar>
            </w:r>
            <w:r>
              <w:rPr>
                <w:sz w:val="24"/>
                <w:szCs w:val="24"/>
              </w:rPr>
              <w:instrText xml:space="preserve"> FORMTEXT </w:instrText>
            </w:r>
            <w:r w:rsidR="00B04B88">
              <w:rPr>
                <w:sz w:val="24"/>
                <w:szCs w:val="24"/>
              </w:rPr>
            </w:r>
            <w:r w:rsidR="00B04B88">
              <w:rPr>
                <w:sz w:val="24"/>
                <w:szCs w:val="24"/>
              </w:rPr>
              <w:fldChar w:fldCharType="separate"/>
            </w:r>
            <w:r>
              <w:rPr>
                <w:sz w:val="24"/>
                <w:szCs w:val="24"/>
              </w:rPr>
              <w:fldChar w:fldCharType="end"/>
            </w:r>
          </w:p>
        </w:tc>
        <w:tc>
          <w:tcPr>
            <w:tcW w:w="1662" w:type="dxa"/>
            <w:gridSpan w:val="2"/>
            <w:vMerge w:val="restart"/>
            <w:tcBorders>
              <w:top w:val="nil"/>
              <w:left w:val="nil"/>
              <w:bottom w:val="nil"/>
            </w:tcBorders>
            <w:vAlign w:val="bottom"/>
          </w:tcPr>
          <w:p w14:paraId="214219A1" w14:textId="77777777" w:rsidR="00D5104A" w:rsidRDefault="00D5104A" w:rsidP="00D5104A">
            <w:pPr>
              <w:pStyle w:val="dajtabulky"/>
              <w:spacing w:line="240" w:lineRule="auto"/>
            </w:pPr>
          </w:p>
        </w:tc>
      </w:tr>
      <w:tr w:rsidR="00D5104A" w14:paraId="26DFD91E" w14:textId="77777777" w:rsidTr="006C2FC3">
        <w:trPr>
          <w:trHeight w:val="340"/>
        </w:trPr>
        <w:tc>
          <w:tcPr>
            <w:tcW w:w="977" w:type="dxa"/>
            <w:tcBorders>
              <w:top w:val="nil"/>
              <w:bottom w:val="nil"/>
              <w:right w:val="nil"/>
            </w:tcBorders>
            <w:vAlign w:val="center"/>
          </w:tcPr>
          <w:p w14:paraId="010548F9" w14:textId="77777777" w:rsidR="00D5104A" w:rsidRDefault="00D5104A" w:rsidP="00D5104A">
            <w:pPr>
              <w:pStyle w:val="Popisektabulky"/>
              <w:spacing w:line="240" w:lineRule="auto"/>
            </w:pPr>
          </w:p>
        </w:tc>
        <w:tc>
          <w:tcPr>
            <w:tcW w:w="7000" w:type="dxa"/>
            <w:gridSpan w:val="2"/>
            <w:vMerge/>
            <w:tcBorders>
              <w:top w:val="nil"/>
              <w:left w:val="nil"/>
              <w:bottom w:val="nil"/>
              <w:right w:val="nil"/>
            </w:tcBorders>
            <w:vAlign w:val="center"/>
          </w:tcPr>
          <w:p w14:paraId="42CD2C88" w14:textId="77777777" w:rsidR="00D5104A" w:rsidRDefault="00D5104A" w:rsidP="00D5104A">
            <w:pPr>
              <w:spacing w:line="240" w:lineRule="auto"/>
              <w:rPr>
                <w:sz w:val="28"/>
                <w:szCs w:val="28"/>
              </w:rPr>
            </w:pPr>
          </w:p>
        </w:tc>
        <w:tc>
          <w:tcPr>
            <w:tcW w:w="1662" w:type="dxa"/>
            <w:gridSpan w:val="2"/>
            <w:vMerge/>
            <w:tcBorders>
              <w:top w:val="nil"/>
              <w:left w:val="nil"/>
              <w:bottom w:val="nil"/>
            </w:tcBorders>
            <w:vAlign w:val="center"/>
          </w:tcPr>
          <w:p w14:paraId="54324076" w14:textId="77777777" w:rsidR="00D5104A" w:rsidRDefault="00D5104A" w:rsidP="00D5104A">
            <w:pPr>
              <w:spacing w:line="240" w:lineRule="auto"/>
              <w:rPr>
                <w:b/>
                <w:bCs/>
                <w:color w:val="99CCFF"/>
                <w:sz w:val="144"/>
                <w:szCs w:val="144"/>
              </w:rPr>
            </w:pPr>
          </w:p>
        </w:tc>
      </w:tr>
      <w:tr w:rsidR="00D5104A" w14:paraId="7B803B46" w14:textId="77777777" w:rsidTr="006C2FC3">
        <w:trPr>
          <w:trHeight w:val="340"/>
        </w:trPr>
        <w:tc>
          <w:tcPr>
            <w:tcW w:w="977" w:type="dxa"/>
            <w:tcBorders>
              <w:top w:val="nil"/>
              <w:bottom w:val="nil"/>
              <w:right w:val="nil"/>
            </w:tcBorders>
            <w:vAlign w:val="center"/>
          </w:tcPr>
          <w:p w14:paraId="74991D1A" w14:textId="77777777" w:rsidR="00D5104A" w:rsidRDefault="00D5104A" w:rsidP="00D5104A">
            <w:pPr>
              <w:pStyle w:val="Popisektabulky"/>
              <w:spacing w:line="240" w:lineRule="auto"/>
            </w:pPr>
          </w:p>
        </w:tc>
        <w:tc>
          <w:tcPr>
            <w:tcW w:w="7000" w:type="dxa"/>
            <w:gridSpan w:val="2"/>
            <w:vMerge/>
            <w:tcBorders>
              <w:top w:val="nil"/>
              <w:left w:val="nil"/>
              <w:bottom w:val="nil"/>
              <w:right w:val="nil"/>
            </w:tcBorders>
            <w:vAlign w:val="center"/>
          </w:tcPr>
          <w:p w14:paraId="30FE5A0B" w14:textId="77777777" w:rsidR="00D5104A" w:rsidRDefault="00D5104A" w:rsidP="00D5104A">
            <w:pPr>
              <w:spacing w:line="240" w:lineRule="auto"/>
              <w:rPr>
                <w:sz w:val="28"/>
                <w:szCs w:val="28"/>
              </w:rPr>
            </w:pPr>
          </w:p>
        </w:tc>
        <w:tc>
          <w:tcPr>
            <w:tcW w:w="1662" w:type="dxa"/>
            <w:gridSpan w:val="2"/>
            <w:vMerge/>
            <w:tcBorders>
              <w:top w:val="nil"/>
              <w:left w:val="nil"/>
              <w:bottom w:val="nil"/>
            </w:tcBorders>
            <w:vAlign w:val="center"/>
          </w:tcPr>
          <w:p w14:paraId="28D12B8B" w14:textId="77777777" w:rsidR="00D5104A" w:rsidRDefault="00D5104A" w:rsidP="00D5104A">
            <w:pPr>
              <w:spacing w:line="240" w:lineRule="auto"/>
              <w:rPr>
                <w:b/>
                <w:bCs/>
                <w:color w:val="99CCFF"/>
                <w:sz w:val="144"/>
                <w:szCs w:val="144"/>
              </w:rPr>
            </w:pPr>
          </w:p>
        </w:tc>
      </w:tr>
      <w:tr w:rsidR="00D5104A" w14:paraId="2F234586" w14:textId="77777777" w:rsidTr="006C2FC3">
        <w:trPr>
          <w:trHeight w:val="340"/>
        </w:trPr>
        <w:tc>
          <w:tcPr>
            <w:tcW w:w="977" w:type="dxa"/>
            <w:tcBorders>
              <w:top w:val="nil"/>
              <w:bottom w:val="nil"/>
              <w:right w:val="nil"/>
            </w:tcBorders>
          </w:tcPr>
          <w:p w14:paraId="016EED16" w14:textId="77777777" w:rsidR="00D5104A" w:rsidRDefault="00D5104A" w:rsidP="00D5104A">
            <w:pPr>
              <w:pStyle w:val="Popisektabulky"/>
              <w:spacing w:line="240" w:lineRule="auto"/>
            </w:pPr>
          </w:p>
        </w:tc>
        <w:tc>
          <w:tcPr>
            <w:tcW w:w="6100" w:type="dxa"/>
            <w:tcBorders>
              <w:top w:val="nil"/>
              <w:left w:val="nil"/>
              <w:bottom w:val="nil"/>
              <w:right w:val="nil"/>
            </w:tcBorders>
            <w:vAlign w:val="center"/>
          </w:tcPr>
          <w:p w14:paraId="178A13D3" w14:textId="77777777" w:rsidR="00D5104A" w:rsidRDefault="00D5104A" w:rsidP="00D5104A">
            <w:pPr>
              <w:pStyle w:val="dajtabulky12"/>
              <w:spacing w:line="240" w:lineRule="auto"/>
            </w:pPr>
            <w:r>
              <w:fldChar w:fldCharType="begin">
                <w:ffData>
                  <w:name w:val="Oddil"/>
                  <w:enabled/>
                  <w:calcOnExit w:val="0"/>
                  <w:textInput>
                    <w:default w:val="D - Dokumentace stavebních objektů"/>
                  </w:textInput>
                </w:ffData>
              </w:fldChar>
            </w:r>
            <w:bookmarkStart w:id="11" w:name="Oddil"/>
            <w:r>
              <w:instrText xml:space="preserve"> FORMTEXT </w:instrText>
            </w:r>
            <w:r>
              <w:fldChar w:fldCharType="separate"/>
            </w:r>
            <w:r>
              <w:t>D - Dokumentace stavebních objektů</w:t>
            </w:r>
            <w:r>
              <w:fldChar w:fldCharType="end"/>
            </w:r>
            <w:bookmarkEnd w:id="11"/>
          </w:p>
        </w:tc>
        <w:tc>
          <w:tcPr>
            <w:tcW w:w="900" w:type="dxa"/>
            <w:tcBorders>
              <w:top w:val="nil"/>
              <w:left w:val="nil"/>
              <w:bottom w:val="nil"/>
              <w:right w:val="nil"/>
            </w:tcBorders>
            <w:vAlign w:val="center"/>
          </w:tcPr>
          <w:p w14:paraId="27274D49" w14:textId="77777777" w:rsidR="00D5104A" w:rsidRDefault="00D5104A" w:rsidP="00D5104A">
            <w:pPr>
              <w:pStyle w:val="Firma"/>
              <w:spacing w:line="240" w:lineRule="auto"/>
            </w:pPr>
          </w:p>
        </w:tc>
        <w:tc>
          <w:tcPr>
            <w:tcW w:w="1662" w:type="dxa"/>
            <w:gridSpan w:val="2"/>
            <w:vMerge/>
            <w:tcBorders>
              <w:top w:val="nil"/>
              <w:left w:val="nil"/>
              <w:bottom w:val="nil"/>
            </w:tcBorders>
            <w:vAlign w:val="center"/>
          </w:tcPr>
          <w:p w14:paraId="29CCC160" w14:textId="77777777" w:rsidR="00D5104A" w:rsidRDefault="00D5104A" w:rsidP="00D5104A">
            <w:pPr>
              <w:spacing w:line="240" w:lineRule="auto"/>
              <w:rPr>
                <w:b/>
                <w:bCs/>
                <w:color w:val="99CCFF"/>
                <w:sz w:val="144"/>
                <w:szCs w:val="144"/>
              </w:rPr>
            </w:pPr>
          </w:p>
        </w:tc>
      </w:tr>
      <w:tr w:rsidR="00D5104A" w14:paraId="67D62D14" w14:textId="77777777" w:rsidTr="006C2FC3">
        <w:trPr>
          <w:trHeight w:val="340"/>
        </w:trPr>
        <w:tc>
          <w:tcPr>
            <w:tcW w:w="977" w:type="dxa"/>
            <w:tcBorders>
              <w:top w:val="nil"/>
              <w:bottom w:val="nil"/>
              <w:right w:val="nil"/>
            </w:tcBorders>
          </w:tcPr>
          <w:p w14:paraId="772EE601" w14:textId="77777777" w:rsidR="00D5104A" w:rsidRDefault="00D5104A" w:rsidP="00D5104A">
            <w:pPr>
              <w:pStyle w:val="Popisektabulky"/>
              <w:spacing w:line="240" w:lineRule="auto"/>
            </w:pPr>
          </w:p>
        </w:tc>
        <w:tc>
          <w:tcPr>
            <w:tcW w:w="6100" w:type="dxa"/>
            <w:tcBorders>
              <w:top w:val="nil"/>
              <w:left w:val="nil"/>
              <w:bottom w:val="nil"/>
              <w:right w:val="nil"/>
            </w:tcBorders>
            <w:vAlign w:val="center"/>
          </w:tcPr>
          <w:p w14:paraId="5D3A9F06" w14:textId="77777777" w:rsidR="00D5104A" w:rsidRDefault="00D5104A" w:rsidP="00D5104A">
            <w:pPr>
              <w:pStyle w:val="dajtabulky12"/>
              <w:spacing w:line="240" w:lineRule="auto"/>
            </w:pPr>
            <w:r>
              <w:fldChar w:fldCharType="begin">
                <w:ffData>
                  <w:name w:val=""/>
                  <w:enabled/>
                  <w:calcOnExit w:val="0"/>
                  <w:textInput>
                    <w:default w:val="D.1 - SO 310 Kanalizace "/>
                  </w:textInput>
                </w:ffData>
              </w:fldChar>
            </w:r>
            <w:r>
              <w:instrText xml:space="preserve"> FORMTEXT </w:instrText>
            </w:r>
            <w:r>
              <w:fldChar w:fldCharType="separate"/>
            </w:r>
            <w:r>
              <w:t>D.1 - SO 310 Kanalizace</w:t>
            </w:r>
            <w:r>
              <w:fldChar w:fldCharType="end"/>
            </w:r>
          </w:p>
        </w:tc>
        <w:tc>
          <w:tcPr>
            <w:tcW w:w="900" w:type="dxa"/>
            <w:tcBorders>
              <w:top w:val="nil"/>
              <w:left w:val="nil"/>
              <w:bottom w:val="nil"/>
              <w:right w:val="nil"/>
            </w:tcBorders>
            <w:vAlign w:val="center"/>
          </w:tcPr>
          <w:p w14:paraId="2CF38591" w14:textId="77777777" w:rsidR="00D5104A" w:rsidRDefault="00D5104A" w:rsidP="00D5104A">
            <w:pPr>
              <w:pStyle w:val="Firma"/>
              <w:spacing w:line="240" w:lineRule="auto"/>
            </w:pPr>
          </w:p>
        </w:tc>
        <w:tc>
          <w:tcPr>
            <w:tcW w:w="1662" w:type="dxa"/>
            <w:gridSpan w:val="2"/>
            <w:vMerge/>
            <w:tcBorders>
              <w:top w:val="nil"/>
              <w:left w:val="nil"/>
              <w:bottom w:val="nil"/>
            </w:tcBorders>
            <w:vAlign w:val="center"/>
          </w:tcPr>
          <w:p w14:paraId="1557E418" w14:textId="77777777" w:rsidR="00D5104A" w:rsidRDefault="00D5104A" w:rsidP="00D5104A">
            <w:pPr>
              <w:spacing w:line="240" w:lineRule="auto"/>
              <w:rPr>
                <w:b/>
                <w:bCs/>
                <w:color w:val="99CCFF"/>
                <w:sz w:val="144"/>
                <w:szCs w:val="144"/>
              </w:rPr>
            </w:pPr>
          </w:p>
        </w:tc>
      </w:tr>
      <w:tr w:rsidR="00D5104A" w14:paraId="76ED6F33" w14:textId="77777777" w:rsidTr="006C2FC3">
        <w:trPr>
          <w:trHeight w:val="340"/>
        </w:trPr>
        <w:tc>
          <w:tcPr>
            <w:tcW w:w="977" w:type="dxa"/>
            <w:tcBorders>
              <w:top w:val="nil"/>
              <w:bottom w:val="nil"/>
              <w:right w:val="nil"/>
            </w:tcBorders>
          </w:tcPr>
          <w:p w14:paraId="1E8C5998" w14:textId="77777777" w:rsidR="00D5104A" w:rsidRDefault="00D5104A" w:rsidP="00D5104A">
            <w:pPr>
              <w:pStyle w:val="Popisektabulky"/>
              <w:spacing w:line="240" w:lineRule="auto"/>
            </w:pPr>
          </w:p>
        </w:tc>
        <w:tc>
          <w:tcPr>
            <w:tcW w:w="6100" w:type="dxa"/>
            <w:tcBorders>
              <w:top w:val="nil"/>
              <w:left w:val="nil"/>
              <w:bottom w:val="nil"/>
              <w:right w:val="nil"/>
            </w:tcBorders>
            <w:vAlign w:val="center"/>
          </w:tcPr>
          <w:p w14:paraId="0955E354" w14:textId="77777777" w:rsidR="00D5104A" w:rsidRDefault="00D5104A" w:rsidP="00D5104A">
            <w:pPr>
              <w:pStyle w:val="dajtabulky12"/>
              <w:spacing w:line="240" w:lineRule="auto"/>
            </w:pPr>
          </w:p>
        </w:tc>
        <w:tc>
          <w:tcPr>
            <w:tcW w:w="900" w:type="dxa"/>
            <w:tcBorders>
              <w:top w:val="nil"/>
              <w:left w:val="nil"/>
              <w:bottom w:val="nil"/>
              <w:right w:val="nil"/>
            </w:tcBorders>
            <w:vAlign w:val="center"/>
          </w:tcPr>
          <w:p w14:paraId="3EFECF74" w14:textId="77777777" w:rsidR="00D5104A" w:rsidRDefault="00D5104A" w:rsidP="00D5104A">
            <w:pPr>
              <w:pStyle w:val="Firma"/>
              <w:spacing w:line="240" w:lineRule="auto"/>
            </w:pPr>
          </w:p>
        </w:tc>
        <w:tc>
          <w:tcPr>
            <w:tcW w:w="1662" w:type="dxa"/>
            <w:gridSpan w:val="2"/>
            <w:vMerge/>
            <w:tcBorders>
              <w:top w:val="nil"/>
              <w:left w:val="nil"/>
              <w:bottom w:val="nil"/>
            </w:tcBorders>
            <w:vAlign w:val="center"/>
          </w:tcPr>
          <w:p w14:paraId="506968FC" w14:textId="77777777" w:rsidR="00D5104A" w:rsidRDefault="00D5104A" w:rsidP="00D5104A">
            <w:pPr>
              <w:spacing w:line="240" w:lineRule="auto"/>
              <w:rPr>
                <w:b/>
                <w:bCs/>
                <w:color w:val="99CCFF"/>
                <w:sz w:val="144"/>
                <w:szCs w:val="144"/>
              </w:rPr>
            </w:pPr>
          </w:p>
        </w:tc>
      </w:tr>
      <w:tr w:rsidR="00D5104A" w14:paraId="6982129A" w14:textId="77777777" w:rsidTr="006C2FC3">
        <w:trPr>
          <w:trHeight w:val="340"/>
        </w:trPr>
        <w:tc>
          <w:tcPr>
            <w:tcW w:w="977" w:type="dxa"/>
            <w:tcBorders>
              <w:top w:val="nil"/>
              <w:bottom w:val="nil"/>
              <w:right w:val="nil"/>
            </w:tcBorders>
          </w:tcPr>
          <w:p w14:paraId="0DCFE7B3" w14:textId="77777777" w:rsidR="00D5104A" w:rsidRDefault="00D5104A" w:rsidP="00D5104A">
            <w:pPr>
              <w:pStyle w:val="Popisektabulky"/>
              <w:spacing w:line="240" w:lineRule="auto"/>
            </w:pPr>
          </w:p>
        </w:tc>
        <w:tc>
          <w:tcPr>
            <w:tcW w:w="6100" w:type="dxa"/>
            <w:tcBorders>
              <w:top w:val="nil"/>
              <w:left w:val="nil"/>
              <w:bottom w:val="nil"/>
              <w:right w:val="nil"/>
            </w:tcBorders>
            <w:vAlign w:val="center"/>
          </w:tcPr>
          <w:p w14:paraId="7BF86E5A" w14:textId="77777777" w:rsidR="00D5104A" w:rsidRDefault="00D5104A" w:rsidP="00D5104A">
            <w:pPr>
              <w:pStyle w:val="dajtabulky12"/>
              <w:spacing w:line="240" w:lineRule="auto"/>
            </w:pPr>
          </w:p>
        </w:tc>
        <w:tc>
          <w:tcPr>
            <w:tcW w:w="900" w:type="dxa"/>
            <w:tcBorders>
              <w:top w:val="nil"/>
              <w:left w:val="nil"/>
              <w:bottom w:val="nil"/>
              <w:right w:val="nil"/>
            </w:tcBorders>
            <w:vAlign w:val="center"/>
          </w:tcPr>
          <w:p w14:paraId="04AE78F9" w14:textId="77777777" w:rsidR="00D5104A" w:rsidRDefault="00D5104A" w:rsidP="00D5104A">
            <w:pPr>
              <w:pStyle w:val="Firma"/>
              <w:spacing w:line="240" w:lineRule="auto"/>
            </w:pPr>
          </w:p>
        </w:tc>
        <w:tc>
          <w:tcPr>
            <w:tcW w:w="1662" w:type="dxa"/>
            <w:gridSpan w:val="2"/>
            <w:vMerge/>
            <w:tcBorders>
              <w:top w:val="nil"/>
              <w:left w:val="nil"/>
              <w:bottom w:val="nil"/>
            </w:tcBorders>
            <w:vAlign w:val="center"/>
          </w:tcPr>
          <w:p w14:paraId="346388C1" w14:textId="77777777" w:rsidR="00D5104A" w:rsidRDefault="00D5104A" w:rsidP="00D5104A">
            <w:pPr>
              <w:spacing w:line="240" w:lineRule="auto"/>
              <w:rPr>
                <w:b/>
                <w:bCs/>
                <w:color w:val="99CCFF"/>
                <w:sz w:val="144"/>
                <w:szCs w:val="144"/>
              </w:rPr>
            </w:pPr>
          </w:p>
        </w:tc>
      </w:tr>
      <w:tr w:rsidR="00D5104A" w14:paraId="4945ED38" w14:textId="77777777" w:rsidTr="006C2FC3">
        <w:trPr>
          <w:trHeight w:val="340"/>
        </w:trPr>
        <w:tc>
          <w:tcPr>
            <w:tcW w:w="977" w:type="dxa"/>
            <w:tcBorders>
              <w:top w:val="nil"/>
              <w:bottom w:val="single" w:sz="12" w:space="0" w:color="auto"/>
              <w:right w:val="nil"/>
            </w:tcBorders>
          </w:tcPr>
          <w:p w14:paraId="3E108A84" w14:textId="77777777" w:rsidR="00D5104A" w:rsidRDefault="00D5104A" w:rsidP="00D5104A">
            <w:pPr>
              <w:pStyle w:val="Popisektabulky"/>
              <w:spacing w:line="240" w:lineRule="auto"/>
            </w:pPr>
          </w:p>
        </w:tc>
        <w:tc>
          <w:tcPr>
            <w:tcW w:w="6100" w:type="dxa"/>
            <w:tcBorders>
              <w:top w:val="nil"/>
              <w:left w:val="nil"/>
              <w:bottom w:val="single" w:sz="12" w:space="0" w:color="auto"/>
              <w:right w:val="nil"/>
            </w:tcBorders>
            <w:vAlign w:val="center"/>
          </w:tcPr>
          <w:p w14:paraId="1B9ECB5D" w14:textId="77777777" w:rsidR="00D5104A" w:rsidRDefault="00D5104A" w:rsidP="00D5104A">
            <w:pPr>
              <w:pStyle w:val="dajtabulky12"/>
              <w:spacing w:line="240" w:lineRule="auto"/>
            </w:pPr>
          </w:p>
        </w:tc>
        <w:tc>
          <w:tcPr>
            <w:tcW w:w="2562" w:type="dxa"/>
            <w:gridSpan w:val="3"/>
            <w:tcBorders>
              <w:top w:val="nil"/>
              <w:left w:val="nil"/>
              <w:bottom w:val="single" w:sz="12" w:space="0" w:color="auto"/>
            </w:tcBorders>
            <w:vAlign w:val="center"/>
          </w:tcPr>
          <w:p w14:paraId="35EC675B" w14:textId="77777777" w:rsidR="00D5104A" w:rsidRDefault="00D5104A" w:rsidP="00D5104A">
            <w:pPr>
              <w:pStyle w:val="dajtabulky"/>
              <w:spacing w:line="240" w:lineRule="auto"/>
              <w:jc w:val="right"/>
            </w:pPr>
            <w:r>
              <w:t>Souprava</w:t>
            </w:r>
          </w:p>
        </w:tc>
      </w:tr>
      <w:tr w:rsidR="00D5104A" w14:paraId="22111B4B" w14:textId="77777777" w:rsidTr="006C2FC3">
        <w:trPr>
          <w:trHeight w:hRule="exact" w:val="281"/>
        </w:trPr>
        <w:tc>
          <w:tcPr>
            <w:tcW w:w="977" w:type="dxa"/>
            <w:tcBorders>
              <w:top w:val="single" w:sz="12" w:space="0" w:color="auto"/>
              <w:bottom w:val="nil"/>
              <w:right w:val="nil"/>
            </w:tcBorders>
            <w:shd w:val="clear" w:color="auto" w:fill="E0E0E0"/>
            <w:vAlign w:val="center"/>
          </w:tcPr>
          <w:p w14:paraId="1AAA4B0C" w14:textId="77777777" w:rsidR="00D5104A" w:rsidRDefault="00D5104A" w:rsidP="00D5104A">
            <w:pPr>
              <w:pStyle w:val="Popisektabulky"/>
              <w:spacing w:line="240" w:lineRule="auto"/>
            </w:pPr>
            <w:r>
              <w:t>Příloha</w:t>
            </w:r>
          </w:p>
        </w:tc>
        <w:tc>
          <w:tcPr>
            <w:tcW w:w="6100" w:type="dxa"/>
            <w:tcBorders>
              <w:top w:val="single" w:sz="12" w:space="0" w:color="auto"/>
              <w:left w:val="nil"/>
              <w:bottom w:val="nil"/>
              <w:right w:val="single" w:sz="12" w:space="0" w:color="auto"/>
            </w:tcBorders>
            <w:shd w:val="clear" w:color="auto" w:fill="E0E0E0"/>
            <w:vAlign w:val="center"/>
          </w:tcPr>
          <w:p w14:paraId="120DCCB3" w14:textId="77777777" w:rsidR="00D5104A" w:rsidRDefault="00D5104A" w:rsidP="00D5104A">
            <w:pPr>
              <w:spacing w:line="240" w:lineRule="auto"/>
            </w:pPr>
          </w:p>
        </w:tc>
        <w:tc>
          <w:tcPr>
            <w:tcW w:w="1973" w:type="dxa"/>
            <w:gridSpan w:val="2"/>
            <w:tcBorders>
              <w:top w:val="single" w:sz="12" w:space="0" w:color="auto"/>
              <w:left w:val="single" w:sz="12" w:space="0" w:color="auto"/>
              <w:bottom w:val="nil"/>
              <w:right w:val="single" w:sz="2" w:space="0" w:color="auto"/>
            </w:tcBorders>
            <w:shd w:val="clear" w:color="auto" w:fill="E0E0E0"/>
            <w:vAlign w:val="center"/>
          </w:tcPr>
          <w:p w14:paraId="3672B17D" w14:textId="77777777" w:rsidR="00D5104A" w:rsidRDefault="00D5104A" w:rsidP="00D5104A">
            <w:pPr>
              <w:pStyle w:val="Popisektabulky"/>
              <w:spacing w:line="240" w:lineRule="auto"/>
            </w:pPr>
            <w:r>
              <w:t>Číslo přílohy</w:t>
            </w:r>
          </w:p>
        </w:tc>
        <w:tc>
          <w:tcPr>
            <w:tcW w:w="589" w:type="dxa"/>
            <w:tcBorders>
              <w:top w:val="single" w:sz="12" w:space="0" w:color="auto"/>
              <w:left w:val="single" w:sz="2" w:space="0" w:color="auto"/>
              <w:bottom w:val="nil"/>
            </w:tcBorders>
            <w:shd w:val="clear" w:color="auto" w:fill="E0E0E0"/>
            <w:vAlign w:val="center"/>
          </w:tcPr>
          <w:p w14:paraId="690FE6AB" w14:textId="77777777" w:rsidR="00D5104A" w:rsidRDefault="00D5104A" w:rsidP="00D5104A">
            <w:pPr>
              <w:pStyle w:val="Popisektabulky"/>
              <w:spacing w:line="240" w:lineRule="auto"/>
            </w:pPr>
            <w:r>
              <w:t>Revize</w:t>
            </w:r>
          </w:p>
        </w:tc>
      </w:tr>
      <w:tr w:rsidR="00D5104A" w14:paraId="3F3C699C" w14:textId="77777777" w:rsidTr="006C2FC3">
        <w:trPr>
          <w:trHeight w:val="567"/>
        </w:trPr>
        <w:tc>
          <w:tcPr>
            <w:tcW w:w="977" w:type="dxa"/>
            <w:tcBorders>
              <w:top w:val="nil"/>
              <w:bottom w:val="single" w:sz="12" w:space="0" w:color="auto"/>
              <w:right w:val="nil"/>
            </w:tcBorders>
            <w:shd w:val="clear" w:color="auto" w:fill="E0E0E0"/>
          </w:tcPr>
          <w:p w14:paraId="0550D8AD" w14:textId="77777777" w:rsidR="00D5104A" w:rsidRDefault="00D5104A" w:rsidP="00D5104A">
            <w:pPr>
              <w:pStyle w:val="Popisektabulky"/>
              <w:spacing w:line="240" w:lineRule="auto"/>
            </w:pPr>
          </w:p>
        </w:tc>
        <w:bookmarkStart w:id="12" w:name="Priloha"/>
        <w:tc>
          <w:tcPr>
            <w:tcW w:w="6100" w:type="dxa"/>
            <w:tcBorders>
              <w:top w:val="nil"/>
              <w:left w:val="nil"/>
              <w:bottom w:val="single" w:sz="12" w:space="0" w:color="auto"/>
              <w:right w:val="single" w:sz="12" w:space="0" w:color="auto"/>
            </w:tcBorders>
            <w:shd w:val="clear" w:color="auto" w:fill="E0E0E0"/>
            <w:vAlign w:val="center"/>
          </w:tcPr>
          <w:p w14:paraId="099522D1" w14:textId="77777777" w:rsidR="00D5104A" w:rsidRDefault="00D5104A" w:rsidP="00D5104A">
            <w:pPr>
              <w:pStyle w:val="dajtabulky12"/>
              <w:spacing w:line="240" w:lineRule="auto"/>
            </w:pPr>
            <w:r>
              <w:fldChar w:fldCharType="begin">
                <w:ffData>
                  <w:name w:val="Priloha"/>
                  <w:enabled/>
                  <w:calcOnExit w:val="0"/>
                  <w:textInput>
                    <w:default w:val="TECHNICKÁ ZPRÁVA"/>
                  </w:textInput>
                </w:ffData>
              </w:fldChar>
            </w:r>
            <w:r>
              <w:instrText xml:space="preserve"> FORMTEXT </w:instrText>
            </w:r>
            <w:r>
              <w:fldChar w:fldCharType="separate"/>
            </w:r>
            <w:r>
              <w:t>TECHNICKÁ ZPRÁVA</w:t>
            </w:r>
            <w:r>
              <w:fldChar w:fldCharType="end"/>
            </w:r>
            <w:bookmarkEnd w:id="12"/>
          </w:p>
        </w:tc>
        <w:bookmarkStart w:id="13" w:name="Cislo_prilohy"/>
        <w:tc>
          <w:tcPr>
            <w:tcW w:w="1973" w:type="dxa"/>
            <w:gridSpan w:val="2"/>
            <w:tcBorders>
              <w:top w:val="nil"/>
              <w:left w:val="single" w:sz="12" w:space="0" w:color="auto"/>
              <w:bottom w:val="single" w:sz="12" w:space="0" w:color="auto"/>
              <w:right w:val="single" w:sz="2" w:space="0" w:color="auto"/>
            </w:tcBorders>
            <w:shd w:val="clear" w:color="auto" w:fill="E0E0E0"/>
            <w:vAlign w:val="center"/>
          </w:tcPr>
          <w:p w14:paraId="396567B8" w14:textId="77777777" w:rsidR="00D5104A" w:rsidRDefault="00D5104A" w:rsidP="00D5104A">
            <w:pPr>
              <w:pStyle w:val="dajtabulky14"/>
              <w:spacing w:line="240" w:lineRule="auto"/>
            </w:pPr>
            <w:r>
              <w:fldChar w:fldCharType="begin">
                <w:ffData>
                  <w:name w:val="Cislo_prilohy"/>
                  <w:enabled/>
                  <w:calcOnExit w:val="0"/>
                  <w:textInput>
                    <w:default w:val="D.1.1"/>
                  </w:textInput>
                </w:ffData>
              </w:fldChar>
            </w:r>
            <w:r>
              <w:instrText xml:space="preserve"> FORMTEXT </w:instrText>
            </w:r>
            <w:r>
              <w:fldChar w:fldCharType="separate"/>
            </w:r>
            <w:r>
              <w:t>D.1.1</w:t>
            </w:r>
            <w:r>
              <w:fldChar w:fldCharType="end"/>
            </w:r>
            <w:bookmarkEnd w:id="13"/>
          </w:p>
        </w:tc>
        <w:bookmarkStart w:id="14" w:name="Revize"/>
        <w:tc>
          <w:tcPr>
            <w:tcW w:w="589" w:type="dxa"/>
            <w:tcBorders>
              <w:top w:val="nil"/>
              <w:left w:val="single" w:sz="2" w:space="0" w:color="auto"/>
              <w:bottom w:val="single" w:sz="12" w:space="0" w:color="auto"/>
            </w:tcBorders>
            <w:shd w:val="clear" w:color="auto" w:fill="E0E0E0"/>
            <w:vAlign w:val="center"/>
          </w:tcPr>
          <w:p w14:paraId="0248D5BD" w14:textId="77777777" w:rsidR="00D5104A" w:rsidRDefault="00D5104A" w:rsidP="00D5104A">
            <w:pPr>
              <w:pStyle w:val="dajtabulky14"/>
              <w:spacing w:line="240" w:lineRule="auto"/>
            </w:pPr>
            <w:r>
              <w:fldChar w:fldCharType="begin">
                <w:ffData>
                  <w:name w:val="Revize"/>
                  <w:enabled/>
                  <w:calcOnExit w:val="0"/>
                  <w:textInput>
                    <w:default w:val="0"/>
                  </w:textInput>
                </w:ffData>
              </w:fldChar>
            </w:r>
            <w:r>
              <w:instrText xml:space="preserve"> FORMTEXT </w:instrText>
            </w:r>
            <w:r>
              <w:fldChar w:fldCharType="separate"/>
            </w:r>
            <w:r>
              <w:t>0</w:t>
            </w:r>
            <w:r>
              <w:fldChar w:fldCharType="end"/>
            </w:r>
            <w:bookmarkEnd w:id="14"/>
          </w:p>
        </w:tc>
      </w:tr>
    </w:tbl>
    <w:p w14:paraId="236C2248" w14:textId="77777777" w:rsidR="006A6DA7" w:rsidRDefault="006A6DA7" w:rsidP="006A6DA7"/>
    <w:p w14:paraId="066BECEA" w14:textId="77777777" w:rsidR="00A661B5" w:rsidRDefault="00A661B5" w:rsidP="008922DA">
      <w:pPr>
        <w:sectPr w:rsidR="00A661B5" w:rsidSect="00633FC3">
          <w:type w:val="continuous"/>
          <w:pgSz w:w="11906" w:h="16838" w:code="9"/>
          <w:pgMar w:top="1418" w:right="1134" w:bottom="567" w:left="1418" w:header="709" w:footer="709" w:gutter="0"/>
          <w:cols w:space="708"/>
          <w:vAlign w:val="bottom"/>
          <w:docGrid w:linePitch="360"/>
        </w:sectPr>
      </w:pPr>
    </w:p>
    <w:p w14:paraId="7257697A" w14:textId="00CB882B" w:rsidR="00C309C5" w:rsidRDefault="00CC549F">
      <w:pPr>
        <w:pStyle w:val="Obsah1"/>
        <w:tabs>
          <w:tab w:val="right" w:leader="dot" w:pos="9627"/>
        </w:tabs>
        <w:rPr>
          <w:rFonts w:asciiTheme="minorHAnsi" w:eastAsiaTheme="minorEastAsia" w:hAnsiTheme="minorHAnsi" w:cstheme="minorBidi"/>
          <w:b w:val="0"/>
          <w:bCs w:val="0"/>
          <w:noProof/>
          <w:color w:val="auto"/>
          <w:szCs w:val="22"/>
        </w:rPr>
      </w:pPr>
      <w:r>
        <w:rPr>
          <w:b w:val="0"/>
          <w:bCs w:val="0"/>
        </w:rPr>
        <w:lastRenderedPageBreak/>
        <w:fldChar w:fldCharType="begin"/>
      </w:r>
      <w:r w:rsidR="002A5F06">
        <w:rPr>
          <w:b w:val="0"/>
          <w:bCs w:val="0"/>
        </w:rPr>
        <w:instrText xml:space="preserve"> TOC \o "1-3" \h \z \u </w:instrText>
      </w:r>
      <w:r>
        <w:rPr>
          <w:b w:val="0"/>
          <w:bCs w:val="0"/>
        </w:rPr>
        <w:fldChar w:fldCharType="separate"/>
      </w:r>
      <w:hyperlink w:anchor="_Toc62201049" w:history="1">
        <w:r w:rsidR="00C309C5" w:rsidRPr="006E6B7A">
          <w:rPr>
            <w:rStyle w:val="Hypertextovodkaz"/>
            <w:noProof/>
          </w:rPr>
          <w:t>1</w:t>
        </w:r>
        <w:r w:rsidR="00C309C5">
          <w:rPr>
            <w:rFonts w:asciiTheme="minorHAnsi" w:eastAsiaTheme="minorEastAsia" w:hAnsiTheme="minorHAnsi" w:cstheme="minorBidi"/>
            <w:b w:val="0"/>
            <w:bCs w:val="0"/>
            <w:noProof/>
            <w:color w:val="auto"/>
            <w:szCs w:val="22"/>
          </w:rPr>
          <w:tab/>
        </w:r>
        <w:r w:rsidR="00C309C5" w:rsidRPr="006E6B7A">
          <w:rPr>
            <w:rStyle w:val="Hypertextovodkaz"/>
            <w:noProof/>
          </w:rPr>
          <w:t>POPIS STÁVAJÍCÍHO STAVU</w:t>
        </w:r>
        <w:r w:rsidR="00C309C5">
          <w:rPr>
            <w:noProof/>
            <w:webHidden/>
          </w:rPr>
          <w:tab/>
        </w:r>
        <w:r w:rsidR="00C309C5">
          <w:rPr>
            <w:noProof/>
            <w:webHidden/>
          </w:rPr>
          <w:fldChar w:fldCharType="begin"/>
        </w:r>
        <w:r w:rsidR="00C309C5">
          <w:rPr>
            <w:noProof/>
            <w:webHidden/>
          </w:rPr>
          <w:instrText xml:space="preserve"> PAGEREF _Toc62201049 \h </w:instrText>
        </w:r>
        <w:r w:rsidR="00C309C5">
          <w:rPr>
            <w:noProof/>
            <w:webHidden/>
          </w:rPr>
        </w:r>
        <w:r w:rsidR="00C309C5">
          <w:rPr>
            <w:noProof/>
            <w:webHidden/>
          </w:rPr>
          <w:fldChar w:fldCharType="separate"/>
        </w:r>
        <w:r w:rsidR="00C309C5">
          <w:rPr>
            <w:noProof/>
            <w:webHidden/>
          </w:rPr>
          <w:t>4</w:t>
        </w:r>
        <w:r w:rsidR="00C309C5">
          <w:rPr>
            <w:noProof/>
            <w:webHidden/>
          </w:rPr>
          <w:fldChar w:fldCharType="end"/>
        </w:r>
      </w:hyperlink>
    </w:p>
    <w:p w14:paraId="1E766908" w14:textId="657C5613" w:rsidR="00C309C5" w:rsidRDefault="00B04B88">
      <w:pPr>
        <w:pStyle w:val="Obsah1"/>
        <w:tabs>
          <w:tab w:val="right" w:leader="dot" w:pos="9627"/>
        </w:tabs>
        <w:rPr>
          <w:rFonts w:asciiTheme="minorHAnsi" w:eastAsiaTheme="minorEastAsia" w:hAnsiTheme="minorHAnsi" w:cstheme="minorBidi"/>
          <w:b w:val="0"/>
          <w:bCs w:val="0"/>
          <w:noProof/>
          <w:color w:val="auto"/>
          <w:szCs w:val="22"/>
        </w:rPr>
      </w:pPr>
      <w:hyperlink w:anchor="_Toc62201050" w:history="1">
        <w:r w:rsidR="00C309C5" w:rsidRPr="006E6B7A">
          <w:rPr>
            <w:rStyle w:val="Hypertextovodkaz"/>
            <w:noProof/>
          </w:rPr>
          <w:t>2</w:t>
        </w:r>
        <w:r w:rsidR="00C309C5">
          <w:rPr>
            <w:rFonts w:asciiTheme="minorHAnsi" w:eastAsiaTheme="minorEastAsia" w:hAnsiTheme="minorHAnsi" w:cstheme="minorBidi"/>
            <w:b w:val="0"/>
            <w:bCs w:val="0"/>
            <w:noProof/>
            <w:color w:val="auto"/>
            <w:szCs w:val="22"/>
          </w:rPr>
          <w:tab/>
        </w:r>
        <w:r w:rsidR="00C309C5" w:rsidRPr="006E6B7A">
          <w:rPr>
            <w:rStyle w:val="Hypertextovodkaz"/>
            <w:noProof/>
          </w:rPr>
          <w:t>ÚDAJE O STAVBĚ</w:t>
        </w:r>
        <w:r w:rsidR="00C309C5">
          <w:rPr>
            <w:noProof/>
            <w:webHidden/>
          </w:rPr>
          <w:tab/>
        </w:r>
        <w:r w:rsidR="00C309C5">
          <w:rPr>
            <w:noProof/>
            <w:webHidden/>
          </w:rPr>
          <w:fldChar w:fldCharType="begin"/>
        </w:r>
        <w:r w:rsidR="00C309C5">
          <w:rPr>
            <w:noProof/>
            <w:webHidden/>
          </w:rPr>
          <w:instrText xml:space="preserve"> PAGEREF _Toc62201050 \h </w:instrText>
        </w:r>
        <w:r w:rsidR="00C309C5">
          <w:rPr>
            <w:noProof/>
            <w:webHidden/>
          </w:rPr>
        </w:r>
        <w:r w:rsidR="00C309C5">
          <w:rPr>
            <w:noProof/>
            <w:webHidden/>
          </w:rPr>
          <w:fldChar w:fldCharType="separate"/>
        </w:r>
        <w:r w:rsidR="00C309C5">
          <w:rPr>
            <w:noProof/>
            <w:webHidden/>
          </w:rPr>
          <w:t>4</w:t>
        </w:r>
        <w:r w:rsidR="00C309C5">
          <w:rPr>
            <w:noProof/>
            <w:webHidden/>
          </w:rPr>
          <w:fldChar w:fldCharType="end"/>
        </w:r>
      </w:hyperlink>
    </w:p>
    <w:p w14:paraId="3FA80730" w14:textId="72229FBA" w:rsidR="00C309C5" w:rsidRDefault="00B04B88">
      <w:pPr>
        <w:pStyle w:val="Obsah1"/>
        <w:tabs>
          <w:tab w:val="right" w:leader="dot" w:pos="9627"/>
        </w:tabs>
        <w:rPr>
          <w:rFonts w:asciiTheme="minorHAnsi" w:eastAsiaTheme="minorEastAsia" w:hAnsiTheme="minorHAnsi" w:cstheme="minorBidi"/>
          <w:b w:val="0"/>
          <w:bCs w:val="0"/>
          <w:noProof/>
          <w:color w:val="auto"/>
          <w:szCs w:val="22"/>
        </w:rPr>
      </w:pPr>
      <w:hyperlink w:anchor="_Toc62201051" w:history="1">
        <w:r w:rsidR="00C309C5" w:rsidRPr="006E6B7A">
          <w:rPr>
            <w:rStyle w:val="Hypertextovodkaz"/>
            <w:noProof/>
          </w:rPr>
          <w:t>3</w:t>
        </w:r>
        <w:r w:rsidR="00C309C5">
          <w:rPr>
            <w:rFonts w:asciiTheme="minorHAnsi" w:eastAsiaTheme="minorEastAsia" w:hAnsiTheme="minorHAnsi" w:cstheme="minorBidi"/>
            <w:b w:val="0"/>
            <w:bCs w:val="0"/>
            <w:noProof/>
            <w:color w:val="auto"/>
            <w:szCs w:val="22"/>
          </w:rPr>
          <w:tab/>
        </w:r>
        <w:r w:rsidR="00C309C5" w:rsidRPr="006E6B7A">
          <w:rPr>
            <w:rStyle w:val="Hypertextovodkaz"/>
            <w:noProof/>
          </w:rPr>
          <w:t>TECHNICKÝ POPIS</w:t>
        </w:r>
        <w:r w:rsidR="00C309C5">
          <w:rPr>
            <w:noProof/>
            <w:webHidden/>
          </w:rPr>
          <w:tab/>
        </w:r>
        <w:r w:rsidR="00C309C5">
          <w:rPr>
            <w:noProof/>
            <w:webHidden/>
          </w:rPr>
          <w:fldChar w:fldCharType="begin"/>
        </w:r>
        <w:r w:rsidR="00C309C5">
          <w:rPr>
            <w:noProof/>
            <w:webHidden/>
          </w:rPr>
          <w:instrText xml:space="preserve"> PAGEREF _Toc62201051 \h </w:instrText>
        </w:r>
        <w:r w:rsidR="00C309C5">
          <w:rPr>
            <w:noProof/>
            <w:webHidden/>
          </w:rPr>
        </w:r>
        <w:r w:rsidR="00C309C5">
          <w:rPr>
            <w:noProof/>
            <w:webHidden/>
          </w:rPr>
          <w:fldChar w:fldCharType="separate"/>
        </w:r>
        <w:r w:rsidR="00C309C5">
          <w:rPr>
            <w:noProof/>
            <w:webHidden/>
          </w:rPr>
          <w:t>4</w:t>
        </w:r>
        <w:r w:rsidR="00C309C5">
          <w:rPr>
            <w:noProof/>
            <w:webHidden/>
          </w:rPr>
          <w:fldChar w:fldCharType="end"/>
        </w:r>
      </w:hyperlink>
    </w:p>
    <w:p w14:paraId="2C288784" w14:textId="6B395470" w:rsidR="00C309C5" w:rsidRDefault="00B04B88">
      <w:pPr>
        <w:pStyle w:val="Obsah2"/>
        <w:rPr>
          <w:rFonts w:asciiTheme="minorHAnsi" w:eastAsiaTheme="minorEastAsia" w:hAnsiTheme="minorHAnsi" w:cstheme="minorBidi"/>
          <w:szCs w:val="22"/>
        </w:rPr>
      </w:pPr>
      <w:hyperlink w:anchor="_Toc62201052" w:history="1">
        <w:r w:rsidR="00C309C5" w:rsidRPr="006E6B7A">
          <w:rPr>
            <w:rStyle w:val="Hypertextovodkaz"/>
          </w:rPr>
          <w:t>3.1</w:t>
        </w:r>
        <w:r w:rsidR="00C309C5">
          <w:rPr>
            <w:rFonts w:asciiTheme="minorHAnsi" w:eastAsiaTheme="minorEastAsia" w:hAnsiTheme="minorHAnsi" w:cstheme="minorBidi"/>
            <w:szCs w:val="22"/>
          </w:rPr>
          <w:tab/>
        </w:r>
        <w:r w:rsidR="00C309C5" w:rsidRPr="006E6B7A">
          <w:rPr>
            <w:rStyle w:val="Hypertextovodkaz"/>
          </w:rPr>
          <w:t>Stoka</w:t>
        </w:r>
        <w:r w:rsidR="00C309C5">
          <w:rPr>
            <w:webHidden/>
          </w:rPr>
          <w:tab/>
        </w:r>
        <w:r w:rsidR="00C309C5">
          <w:rPr>
            <w:webHidden/>
          </w:rPr>
          <w:fldChar w:fldCharType="begin"/>
        </w:r>
        <w:r w:rsidR="00C309C5">
          <w:rPr>
            <w:webHidden/>
          </w:rPr>
          <w:instrText xml:space="preserve"> PAGEREF _Toc62201052 \h </w:instrText>
        </w:r>
        <w:r w:rsidR="00C309C5">
          <w:rPr>
            <w:webHidden/>
          </w:rPr>
        </w:r>
        <w:r w:rsidR="00C309C5">
          <w:rPr>
            <w:webHidden/>
          </w:rPr>
          <w:fldChar w:fldCharType="separate"/>
        </w:r>
        <w:r w:rsidR="00C309C5">
          <w:rPr>
            <w:webHidden/>
          </w:rPr>
          <w:t>4</w:t>
        </w:r>
        <w:r w:rsidR="00C309C5">
          <w:rPr>
            <w:webHidden/>
          </w:rPr>
          <w:fldChar w:fldCharType="end"/>
        </w:r>
      </w:hyperlink>
    </w:p>
    <w:p w14:paraId="29E3ACF2" w14:textId="5EDC81C4" w:rsidR="00C309C5" w:rsidRDefault="00B04B88">
      <w:pPr>
        <w:pStyle w:val="Obsah2"/>
        <w:rPr>
          <w:rFonts w:asciiTheme="minorHAnsi" w:eastAsiaTheme="minorEastAsia" w:hAnsiTheme="minorHAnsi" w:cstheme="minorBidi"/>
          <w:szCs w:val="22"/>
        </w:rPr>
      </w:pPr>
      <w:hyperlink w:anchor="_Toc62201053" w:history="1">
        <w:r w:rsidR="00C309C5" w:rsidRPr="006E6B7A">
          <w:rPr>
            <w:rStyle w:val="Hypertextovodkaz"/>
          </w:rPr>
          <w:t>3.2</w:t>
        </w:r>
        <w:r w:rsidR="00C309C5">
          <w:rPr>
            <w:rFonts w:asciiTheme="minorHAnsi" w:eastAsiaTheme="minorEastAsia" w:hAnsiTheme="minorHAnsi" w:cstheme="minorBidi"/>
            <w:szCs w:val="22"/>
          </w:rPr>
          <w:tab/>
        </w:r>
        <w:r w:rsidR="00C309C5" w:rsidRPr="006E6B7A">
          <w:rPr>
            <w:rStyle w:val="Hypertextovodkaz"/>
          </w:rPr>
          <w:t>Objekty na stokách</w:t>
        </w:r>
        <w:r w:rsidR="00C309C5">
          <w:rPr>
            <w:webHidden/>
          </w:rPr>
          <w:tab/>
        </w:r>
        <w:r w:rsidR="00C309C5">
          <w:rPr>
            <w:webHidden/>
          </w:rPr>
          <w:fldChar w:fldCharType="begin"/>
        </w:r>
        <w:r w:rsidR="00C309C5">
          <w:rPr>
            <w:webHidden/>
          </w:rPr>
          <w:instrText xml:space="preserve"> PAGEREF _Toc62201053 \h </w:instrText>
        </w:r>
        <w:r w:rsidR="00C309C5">
          <w:rPr>
            <w:webHidden/>
          </w:rPr>
        </w:r>
        <w:r w:rsidR="00C309C5">
          <w:rPr>
            <w:webHidden/>
          </w:rPr>
          <w:fldChar w:fldCharType="separate"/>
        </w:r>
        <w:r w:rsidR="00C309C5">
          <w:rPr>
            <w:webHidden/>
          </w:rPr>
          <w:t>6</w:t>
        </w:r>
        <w:r w:rsidR="00C309C5">
          <w:rPr>
            <w:webHidden/>
          </w:rPr>
          <w:fldChar w:fldCharType="end"/>
        </w:r>
      </w:hyperlink>
    </w:p>
    <w:p w14:paraId="1E6E7929" w14:textId="763234D1" w:rsidR="00C309C5" w:rsidRDefault="00B04B88">
      <w:pPr>
        <w:pStyle w:val="Obsah3"/>
        <w:tabs>
          <w:tab w:val="left" w:pos="1440"/>
          <w:tab w:val="right" w:leader="dot" w:pos="9627"/>
        </w:tabs>
        <w:rPr>
          <w:rFonts w:asciiTheme="minorHAnsi" w:eastAsiaTheme="minorEastAsia" w:hAnsiTheme="minorHAnsi" w:cstheme="minorBidi"/>
          <w:noProof/>
          <w:szCs w:val="22"/>
        </w:rPr>
      </w:pPr>
      <w:hyperlink w:anchor="_Toc62201054" w:history="1">
        <w:r w:rsidR="00C309C5" w:rsidRPr="006E6B7A">
          <w:rPr>
            <w:rStyle w:val="Hypertextovodkaz"/>
            <w:noProof/>
          </w:rPr>
          <w:t>3.2.1</w:t>
        </w:r>
        <w:r w:rsidR="00C309C5">
          <w:rPr>
            <w:rFonts w:asciiTheme="minorHAnsi" w:eastAsiaTheme="minorEastAsia" w:hAnsiTheme="minorHAnsi" w:cstheme="minorBidi"/>
            <w:noProof/>
            <w:szCs w:val="22"/>
          </w:rPr>
          <w:tab/>
        </w:r>
        <w:r w:rsidR="00C309C5" w:rsidRPr="006E6B7A">
          <w:rPr>
            <w:rStyle w:val="Hypertextovodkaz"/>
            <w:noProof/>
          </w:rPr>
          <w:t>Typové prefabrikované revizní šachty</w:t>
        </w:r>
        <w:r w:rsidR="00C309C5">
          <w:rPr>
            <w:noProof/>
            <w:webHidden/>
          </w:rPr>
          <w:tab/>
        </w:r>
        <w:r w:rsidR="00C309C5">
          <w:rPr>
            <w:noProof/>
            <w:webHidden/>
          </w:rPr>
          <w:fldChar w:fldCharType="begin"/>
        </w:r>
        <w:r w:rsidR="00C309C5">
          <w:rPr>
            <w:noProof/>
            <w:webHidden/>
          </w:rPr>
          <w:instrText xml:space="preserve"> PAGEREF _Toc62201054 \h </w:instrText>
        </w:r>
        <w:r w:rsidR="00C309C5">
          <w:rPr>
            <w:noProof/>
            <w:webHidden/>
          </w:rPr>
        </w:r>
        <w:r w:rsidR="00C309C5">
          <w:rPr>
            <w:noProof/>
            <w:webHidden/>
          </w:rPr>
          <w:fldChar w:fldCharType="separate"/>
        </w:r>
        <w:r w:rsidR="00C309C5">
          <w:rPr>
            <w:noProof/>
            <w:webHidden/>
          </w:rPr>
          <w:t>6</w:t>
        </w:r>
        <w:r w:rsidR="00C309C5">
          <w:rPr>
            <w:noProof/>
            <w:webHidden/>
          </w:rPr>
          <w:fldChar w:fldCharType="end"/>
        </w:r>
      </w:hyperlink>
    </w:p>
    <w:p w14:paraId="0F2AEB0C" w14:textId="60EF1E2F" w:rsidR="00C309C5" w:rsidRDefault="00B04B88">
      <w:pPr>
        <w:pStyle w:val="Obsah3"/>
        <w:tabs>
          <w:tab w:val="left" w:pos="1440"/>
          <w:tab w:val="right" w:leader="dot" w:pos="9627"/>
        </w:tabs>
        <w:rPr>
          <w:rFonts w:asciiTheme="minorHAnsi" w:eastAsiaTheme="minorEastAsia" w:hAnsiTheme="minorHAnsi" w:cstheme="minorBidi"/>
          <w:noProof/>
          <w:szCs w:val="22"/>
        </w:rPr>
      </w:pPr>
      <w:hyperlink w:anchor="_Toc62201055" w:history="1">
        <w:r w:rsidR="00C309C5" w:rsidRPr="006E6B7A">
          <w:rPr>
            <w:rStyle w:val="Hypertextovodkaz"/>
            <w:noProof/>
          </w:rPr>
          <w:t>3.2.2</w:t>
        </w:r>
        <w:r w:rsidR="00C309C5">
          <w:rPr>
            <w:rFonts w:asciiTheme="minorHAnsi" w:eastAsiaTheme="minorEastAsia" w:hAnsiTheme="minorHAnsi" w:cstheme="minorBidi"/>
            <w:noProof/>
            <w:szCs w:val="22"/>
          </w:rPr>
          <w:tab/>
        </w:r>
        <w:r w:rsidR="00C309C5" w:rsidRPr="006E6B7A">
          <w:rPr>
            <w:rStyle w:val="Hypertextovodkaz"/>
            <w:noProof/>
          </w:rPr>
          <w:t>Atypické revizní šachty</w:t>
        </w:r>
        <w:r w:rsidR="00C309C5">
          <w:rPr>
            <w:noProof/>
            <w:webHidden/>
          </w:rPr>
          <w:tab/>
        </w:r>
        <w:r w:rsidR="00C309C5">
          <w:rPr>
            <w:noProof/>
            <w:webHidden/>
          </w:rPr>
          <w:fldChar w:fldCharType="begin"/>
        </w:r>
        <w:r w:rsidR="00C309C5">
          <w:rPr>
            <w:noProof/>
            <w:webHidden/>
          </w:rPr>
          <w:instrText xml:space="preserve"> PAGEREF _Toc62201055 \h </w:instrText>
        </w:r>
        <w:r w:rsidR="00C309C5">
          <w:rPr>
            <w:noProof/>
            <w:webHidden/>
          </w:rPr>
        </w:r>
        <w:r w:rsidR="00C309C5">
          <w:rPr>
            <w:noProof/>
            <w:webHidden/>
          </w:rPr>
          <w:fldChar w:fldCharType="separate"/>
        </w:r>
        <w:r w:rsidR="00C309C5">
          <w:rPr>
            <w:noProof/>
            <w:webHidden/>
          </w:rPr>
          <w:t>6</w:t>
        </w:r>
        <w:r w:rsidR="00C309C5">
          <w:rPr>
            <w:noProof/>
            <w:webHidden/>
          </w:rPr>
          <w:fldChar w:fldCharType="end"/>
        </w:r>
      </w:hyperlink>
    </w:p>
    <w:p w14:paraId="7C87D3F8" w14:textId="33ED8BF1" w:rsidR="00C309C5" w:rsidRDefault="00B04B88">
      <w:pPr>
        <w:pStyle w:val="Obsah2"/>
        <w:rPr>
          <w:rFonts w:asciiTheme="minorHAnsi" w:eastAsiaTheme="minorEastAsia" w:hAnsiTheme="minorHAnsi" w:cstheme="minorBidi"/>
          <w:szCs w:val="22"/>
        </w:rPr>
      </w:pPr>
      <w:hyperlink w:anchor="_Toc62201056" w:history="1">
        <w:r w:rsidR="00C309C5" w:rsidRPr="006E6B7A">
          <w:rPr>
            <w:rStyle w:val="Hypertextovodkaz"/>
          </w:rPr>
          <w:t>3.3</w:t>
        </w:r>
        <w:r w:rsidR="00C309C5">
          <w:rPr>
            <w:rFonts w:asciiTheme="minorHAnsi" w:eastAsiaTheme="minorEastAsia" w:hAnsiTheme="minorHAnsi" w:cstheme="minorBidi"/>
            <w:szCs w:val="22"/>
          </w:rPr>
          <w:tab/>
        </w:r>
        <w:r w:rsidR="00C309C5" w:rsidRPr="006E6B7A">
          <w:rPr>
            <w:rStyle w:val="Hypertextovodkaz"/>
          </w:rPr>
          <w:t>Napojení domovních přípojek a uličních vpustí</w:t>
        </w:r>
        <w:r w:rsidR="00C309C5">
          <w:rPr>
            <w:webHidden/>
          </w:rPr>
          <w:tab/>
        </w:r>
        <w:r w:rsidR="00C309C5">
          <w:rPr>
            <w:webHidden/>
          </w:rPr>
          <w:fldChar w:fldCharType="begin"/>
        </w:r>
        <w:r w:rsidR="00C309C5">
          <w:rPr>
            <w:webHidden/>
          </w:rPr>
          <w:instrText xml:space="preserve"> PAGEREF _Toc62201056 \h </w:instrText>
        </w:r>
        <w:r w:rsidR="00C309C5">
          <w:rPr>
            <w:webHidden/>
          </w:rPr>
        </w:r>
        <w:r w:rsidR="00C309C5">
          <w:rPr>
            <w:webHidden/>
          </w:rPr>
          <w:fldChar w:fldCharType="separate"/>
        </w:r>
        <w:r w:rsidR="00C309C5">
          <w:rPr>
            <w:webHidden/>
          </w:rPr>
          <w:t>7</w:t>
        </w:r>
        <w:r w:rsidR="00C309C5">
          <w:rPr>
            <w:webHidden/>
          </w:rPr>
          <w:fldChar w:fldCharType="end"/>
        </w:r>
      </w:hyperlink>
    </w:p>
    <w:p w14:paraId="01DBBC2C" w14:textId="3D7EA4A6" w:rsidR="00C309C5" w:rsidRDefault="00B04B88">
      <w:pPr>
        <w:pStyle w:val="Obsah3"/>
        <w:tabs>
          <w:tab w:val="left" w:pos="1440"/>
          <w:tab w:val="right" w:leader="dot" w:pos="9627"/>
        </w:tabs>
        <w:rPr>
          <w:rFonts w:asciiTheme="minorHAnsi" w:eastAsiaTheme="minorEastAsia" w:hAnsiTheme="minorHAnsi" w:cstheme="minorBidi"/>
          <w:noProof/>
          <w:szCs w:val="22"/>
        </w:rPr>
      </w:pPr>
      <w:hyperlink w:anchor="_Toc62201057" w:history="1">
        <w:r w:rsidR="00C309C5" w:rsidRPr="006E6B7A">
          <w:rPr>
            <w:rStyle w:val="Hypertextovodkaz"/>
            <w:noProof/>
          </w:rPr>
          <w:t>3.3.1</w:t>
        </w:r>
        <w:r w:rsidR="00C309C5">
          <w:rPr>
            <w:rFonts w:asciiTheme="minorHAnsi" w:eastAsiaTheme="minorEastAsia" w:hAnsiTheme="minorHAnsi" w:cstheme="minorBidi"/>
            <w:noProof/>
            <w:szCs w:val="22"/>
          </w:rPr>
          <w:tab/>
        </w:r>
        <w:r w:rsidR="00C309C5" w:rsidRPr="006E6B7A">
          <w:rPr>
            <w:rStyle w:val="Hypertextovodkaz"/>
            <w:noProof/>
          </w:rPr>
          <w:t>Napojení domovních přípojek</w:t>
        </w:r>
        <w:r w:rsidR="00C309C5">
          <w:rPr>
            <w:noProof/>
            <w:webHidden/>
          </w:rPr>
          <w:tab/>
        </w:r>
        <w:r w:rsidR="00C309C5">
          <w:rPr>
            <w:noProof/>
            <w:webHidden/>
          </w:rPr>
          <w:fldChar w:fldCharType="begin"/>
        </w:r>
        <w:r w:rsidR="00C309C5">
          <w:rPr>
            <w:noProof/>
            <w:webHidden/>
          </w:rPr>
          <w:instrText xml:space="preserve"> PAGEREF _Toc62201057 \h </w:instrText>
        </w:r>
        <w:r w:rsidR="00C309C5">
          <w:rPr>
            <w:noProof/>
            <w:webHidden/>
          </w:rPr>
        </w:r>
        <w:r w:rsidR="00C309C5">
          <w:rPr>
            <w:noProof/>
            <w:webHidden/>
          </w:rPr>
          <w:fldChar w:fldCharType="separate"/>
        </w:r>
        <w:r w:rsidR="00C309C5">
          <w:rPr>
            <w:noProof/>
            <w:webHidden/>
          </w:rPr>
          <w:t>7</w:t>
        </w:r>
        <w:r w:rsidR="00C309C5">
          <w:rPr>
            <w:noProof/>
            <w:webHidden/>
          </w:rPr>
          <w:fldChar w:fldCharType="end"/>
        </w:r>
      </w:hyperlink>
    </w:p>
    <w:p w14:paraId="65CE86D3" w14:textId="21031A92" w:rsidR="00C309C5" w:rsidRDefault="00B04B88">
      <w:pPr>
        <w:pStyle w:val="Obsah3"/>
        <w:tabs>
          <w:tab w:val="left" w:pos="1440"/>
          <w:tab w:val="right" w:leader="dot" w:pos="9627"/>
        </w:tabs>
        <w:rPr>
          <w:rFonts w:asciiTheme="minorHAnsi" w:eastAsiaTheme="minorEastAsia" w:hAnsiTheme="minorHAnsi" w:cstheme="minorBidi"/>
          <w:noProof/>
          <w:szCs w:val="22"/>
        </w:rPr>
      </w:pPr>
      <w:hyperlink w:anchor="_Toc62201058" w:history="1">
        <w:r w:rsidR="00C309C5" w:rsidRPr="006E6B7A">
          <w:rPr>
            <w:rStyle w:val="Hypertextovodkaz"/>
            <w:noProof/>
          </w:rPr>
          <w:t>3.3.2</w:t>
        </w:r>
        <w:r w:rsidR="00C309C5">
          <w:rPr>
            <w:rFonts w:asciiTheme="minorHAnsi" w:eastAsiaTheme="minorEastAsia" w:hAnsiTheme="minorHAnsi" w:cstheme="minorBidi"/>
            <w:noProof/>
            <w:szCs w:val="22"/>
          </w:rPr>
          <w:tab/>
        </w:r>
        <w:r w:rsidR="00C309C5" w:rsidRPr="006E6B7A">
          <w:rPr>
            <w:rStyle w:val="Hypertextovodkaz"/>
            <w:noProof/>
          </w:rPr>
          <w:t>Napojení uličních vpustí</w:t>
        </w:r>
        <w:r w:rsidR="00C309C5">
          <w:rPr>
            <w:noProof/>
            <w:webHidden/>
          </w:rPr>
          <w:tab/>
        </w:r>
        <w:r w:rsidR="00C309C5">
          <w:rPr>
            <w:noProof/>
            <w:webHidden/>
          </w:rPr>
          <w:fldChar w:fldCharType="begin"/>
        </w:r>
        <w:r w:rsidR="00C309C5">
          <w:rPr>
            <w:noProof/>
            <w:webHidden/>
          </w:rPr>
          <w:instrText xml:space="preserve"> PAGEREF _Toc62201058 \h </w:instrText>
        </w:r>
        <w:r w:rsidR="00C309C5">
          <w:rPr>
            <w:noProof/>
            <w:webHidden/>
          </w:rPr>
        </w:r>
        <w:r w:rsidR="00C309C5">
          <w:rPr>
            <w:noProof/>
            <w:webHidden/>
          </w:rPr>
          <w:fldChar w:fldCharType="separate"/>
        </w:r>
        <w:r w:rsidR="00C309C5">
          <w:rPr>
            <w:noProof/>
            <w:webHidden/>
          </w:rPr>
          <w:t>7</w:t>
        </w:r>
        <w:r w:rsidR="00C309C5">
          <w:rPr>
            <w:noProof/>
            <w:webHidden/>
          </w:rPr>
          <w:fldChar w:fldCharType="end"/>
        </w:r>
      </w:hyperlink>
    </w:p>
    <w:p w14:paraId="3F173841" w14:textId="55192F5D" w:rsidR="00C309C5" w:rsidRDefault="00B04B88">
      <w:pPr>
        <w:pStyle w:val="Obsah2"/>
        <w:rPr>
          <w:rFonts w:asciiTheme="minorHAnsi" w:eastAsiaTheme="minorEastAsia" w:hAnsiTheme="minorHAnsi" w:cstheme="minorBidi"/>
          <w:szCs w:val="22"/>
        </w:rPr>
      </w:pPr>
      <w:hyperlink w:anchor="_Toc62201059" w:history="1">
        <w:r w:rsidR="00C309C5" w:rsidRPr="006E6B7A">
          <w:rPr>
            <w:rStyle w:val="Hypertextovodkaz"/>
          </w:rPr>
          <w:t>3.4</w:t>
        </w:r>
        <w:r w:rsidR="00C309C5">
          <w:rPr>
            <w:rFonts w:asciiTheme="minorHAnsi" w:eastAsiaTheme="minorEastAsia" w:hAnsiTheme="minorHAnsi" w:cstheme="minorBidi"/>
            <w:szCs w:val="22"/>
          </w:rPr>
          <w:tab/>
        </w:r>
        <w:r w:rsidR="00C309C5" w:rsidRPr="006E6B7A">
          <w:rPr>
            <w:rStyle w:val="Hypertextovodkaz"/>
          </w:rPr>
          <w:t>Potrubí</w:t>
        </w:r>
        <w:r w:rsidR="00C309C5">
          <w:rPr>
            <w:webHidden/>
          </w:rPr>
          <w:tab/>
        </w:r>
        <w:r w:rsidR="00C309C5">
          <w:rPr>
            <w:webHidden/>
          </w:rPr>
          <w:fldChar w:fldCharType="begin"/>
        </w:r>
        <w:r w:rsidR="00C309C5">
          <w:rPr>
            <w:webHidden/>
          </w:rPr>
          <w:instrText xml:space="preserve"> PAGEREF _Toc62201059 \h </w:instrText>
        </w:r>
        <w:r w:rsidR="00C309C5">
          <w:rPr>
            <w:webHidden/>
          </w:rPr>
        </w:r>
        <w:r w:rsidR="00C309C5">
          <w:rPr>
            <w:webHidden/>
          </w:rPr>
          <w:fldChar w:fldCharType="separate"/>
        </w:r>
        <w:r w:rsidR="00C309C5">
          <w:rPr>
            <w:webHidden/>
          </w:rPr>
          <w:t>7</w:t>
        </w:r>
        <w:r w:rsidR="00C309C5">
          <w:rPr>
            <w:webHidden/>
          </w:rPr>
          <w:fldChar w:fldCharType="end"/>
        </w:r>
      </w:hyperlink>
    </w:p>
    <w:p w14:paraId="78D5D9CB" w14:textId="3E391F92" w:rsidR="00C309C5" w:rsidRDefault="00B04B88">
      <w:pPr>
        <w:pStyle w:val="Obsah2"/>
        <w:rPr>
          <w:rFonts w:asciiTheme="minorHAnsi" w:eastAsiaTheme="minorEastAsia" w:hAnsiTheme="minorHAnsi" w:cstheme="minorBidi"/>
          <w:szCs w:val="22"/>
        </w:rPr>
      </w:pPr>
      <w:hyperlink w:anchor="_Toc62201060" w:history="1">
        <w:r w:rsidR="00C309C5" w:rsidRPr="006E6B7A">
          <w:rPr>
            <w:rStyle w:val="Hypertextovodkaz"/>
          </w:rPr>
          <w:t>3.5</w:t>
        </w:r>
        <w:r w:rsidR="00C309C5">
          <w:rPr>
            <w:rFonts w:asciiTheme="minorHAnsi" w:eastAsiaTheme="minorEastAsia" w:hAnsiTheme="minorHAnsi" w:cstheme="minorBidi"/>
            <w:szCs w:val="22"/>
          </w:rPr>
          <w:tab/>
        </w:r>
        <w:r w:rsidR="00C309C5" w:rsidRPr="006E6B7A">
          <w:rPr>
            <w:rStyle w:val="Hypertextovodkaz"/>
          </w:rPr>
          <w:t>Dotčení inženýrských sítí a ochranných pásem</w:t>
        </w:r>
        <w:r w:rsidR="00C309C5">
          <w:rPr>
            <w:webHidden/>
          </w:rPr>
          <w:tab/>
        </w:r>
        <w:r w:rsidR="00C309C5">
          <w:rPr>
            <w:webHidden/>
          </w:rPr>
          <w:fldChar w:fldCharType="begin"/>
        </w:r>
        <w:r w:rsidR="00C309C5">
          <w:rPr>
            <w:webHidden/>
          </w:rPr>
          <w:instrText xml:space="preserve"> PAGEREF _Toc62201060 \h </w:instrText>
        </w:r>
        <w:r w:rsidR="00C309C5">
          <w:rPr>
            <w:webHidden/>
          </w:rPr>
        </w:r>
        <w:r w:rsidR="00C309C5">
          <w:rPr>
            <w:webHidden/>
          </w:rPr>
          <w:fldChar w:fldCharType="separate"/>
        </w:r>
        <w:r w:rsidR="00C309C5">
          <w:rPr>
            <w:webHidden/>
          </w:rPr>
          <w:t>8</w:t>
        </w:r>
        <w:r w:rsidR="00C309C5">
          <w:rPr>
            <w:webHidden/>
          </w:rPr>
          <w:fldChar w:fldCharType="end"/>
        </w:r>
      </w:hyperlink>
    </w:p>
    <w:p w14:paraId="3F114C30" w14:textId="0F60BDA8" w:rsidR="00C309C5" w:rsidRDefault="00B04B88">
      <w:pPr>
        <w:pStyle w:val="Obsah2"/>
        <w:rPr>
          <w:rFonts w:asciiTheme="minorHAnsi" w:eastAsiaTheme="minorEastAsia" w:hAnsiTheme="minorHAnsi" w:cstheme="minorBidi"/>
          <w:szCs w:val="22"/>
        </w:rPr>
      </w:pPr>
      <w:hyperlink w:anchor="_Toc62201061" w:history="1">
        <w:r w:rsidR="00C309C5" w:rsidRPr="006E6B7A">
          <w:rPr>
            <w:rStyle w:val="Hypertextovodkaz"/>
          </w:rPr>
          <w:t>3.6</w:t>
        </w:r>
        <w:r w:rsidR="00C309C5">
          <w:rPr>
            <w:rFonts w:asciiTheme="minorHAnsi" w:eastAsiaTheme="minorEastAsia" w:hAnsiTheme="minorHAnsi" w:cstheme="minorBidi"/>
            <w:szCs w:val="22"/>
          </w:rPr>
          <w:tab/>
        </w:r>
        <w:r w:rsidR="00C309C5" w:rsidRPr="006E6B7A">
          <w:rPr>
            <w:rStyle w:val="Hypertextovodkaz"/>
          </w:rPr>
          <w:t>Požadavky na kvalitu provedení</w:t>
        </w:r>
        <w:r w:rsidR="00C309C5">
          <w:rPr>
            <w:webHidden/>
          </w:rPr>
          <w:tab/>
        </w:r>
        <w:r w:rsidR="00C309C5">
          <w:rPr>
            <w:webHidden/>
          </w:rPr>
          <w:fldChar w:fldCharType="begin"/>
        </w:r>
        <w:r w:rsidR="00C309C5">
          <w:rPr>
            <w:webHidden/>
          </w:rPr>
          <w:instrText xml:space="preserve"> PAGEREF _Toc62201061 \h </w:instrText>
        </w:r>
        <w:r w:rsidR="00C309C5">
          <w:rPr>
            <w:webHidden/>
          </w:rPr>
        </w:r>
        <w:r w:rsidR="00C309C5">
          <w:rPr>
            <w:webHidden/>
          </w:rPr>
          <w:fldChar w:fldCharType="separate"/>
        </w:r>
        <w:r w:rsidR="00C309C5">
          <w:rPr>
            <w:webHidden/>
          </w:rPr>
          <w:t>8</w:t>
        </w:r>
        <w:r w:rsidR="00C309C5">
          <w:rPr>
            <w:webHidden/>
          </w:rPr>
          <w:fldChar w:fldCharType="end"/>
        </w:r>
      </w:hyperlink>
    </w:p>
    <w:p w14:paraId="15A4A8A1" w14:textId="6625A77D" w:rsidR="00C309C5" w:rsidRDefault="00B04B88">
      <w:pPr>
        <w:pStyle w:val="Obsah2"/>
        <w:rPr>
          <w:rFonts w:asciiTheme="minorHAnsi" w:eastAsiaTheme="minorEastAsia" w:hAnsiTheme="minorHAnsi" w:cstheme="minorBidi"/>
          <w:szCs w:val="22"/>
        </w:rPr>
      </w:pPr>
      <w:hyperlink w:anchor="_Toc62201062" w:history="1">
        <w:r w:rsidR="00C309C5" w:rsidRPr="006E6B7A">
          <w:rPr>
            <w:rStyle w:val="Hypertextovodkaz"/>
          </w:rPr>
          <w:t>3.7</w:t>
        </w:r>
        <w:r w:rsidR="00C309C5">
          <w:rPr>
            <w:rFonts w:asciiTheme="minorHAnsi" w:eastAsiaTheme="minorEastAsia" w:hAnsiTheme="minorHAnsi" w:cstheme="minorBidi"/>
            <w:szCs w:val="22"/>
          </w:rPr>
          <w:tab/>
        </w:r>
        <w:r w:rsidR="00C309C5" w:rsidRPr="006E6B7A">
          <w:rPr>
            <w:rStyle w:val="Hypertextovodkaz"/>
          </w:rPr>
          <w:t>Zkouška vodotěsnosti</w:t>
        </w:r>
        <w:r w:rsidR="00C309C5">
          <w:rPr>
            <w:webHidden/>
          </w:rPr>
          <w:tab/>
        </w:r>
        <w:r w:rsidR="00C309C5">
          <w:rPr>
            <w:webHidden/>
          </w:rPr>
          <w:fldChar w:fldCharType="begin"/>
        </w:r>
        <w:r w:rsidR="00C309C5">
          <w:rPr>
            <w:webHidden/>
          </w:rPr>
          <w:instrText xml:space="preserve"> PAGEREF _Toc62201062 \h </w:instrText>
        </w:r>
        <w:r w:rsidR="00C309C5">
          <w:rPr>
            <w:webHidden/>
          </w:rPr>
        </w:r>
        <w:r w:rsidR="00C309C5">
          <w:rPr>
            <w:webHidden/>
          </w:rPr>
          <w:fldChar w:fldCharType="separate"/>
        </w:r>
        <w:r w:rsidR="00C309C5">
          <w:rPr>
            <w:webHidden/>
          </w:rPr>
          <w:t>8</w:t>
        </w:r>
        <w:r w:rsidR="00C309C5">
          <w:rPr>
            <w:webHidden/>
          </w:rPr>
          <w:fldChar w:fldCharType="end"/>
        </w:r>
      </w:hyperlink>
    </w:p>
    <w:p w14:paraId="68E5DE23" w14:textId="5584A2A4" w:rsidR="00C309C5" w:rsidRDefault="00B04B88">
      <w:pPr>
        <w:pStyle w:val="Obsah2"/>
        <w:rPr>
          <w:rFonts w:asciiTheme="minorHAnsi" w:eastAsiaTheme="minorEastAsia" w:hAnsiTheme="minorHAnsi" w:cstheme="minorBidi"/>
          <w:szCs w:val="22"/>
        </w:rPr>
      </w:pPr>
      <w:hyperlink w:anchor="_Toc62201063" w:history="1">
        <w:r w:rsidR="00C309C5" w:rsidRPr="006E6B7A">
          <w:rPr>
            <w:rStyle w:val="Hypertextovodkaz"/>
          </w:rPr>
          <w:t>3.8</w:t>
        </w:r>
        <w:r w:rsidR="00C309C5">
          <w:rPr>
            <w:rFonts w:asciiTheme="minorHAnsi" w:eastAsiaTheme="minorEastAsia" w:hAnsiTheme="minorHAnsi" w:cstheme="minorBidi"/>
            <w:szCs w:val="22"/>
          </w:rPr>
          <w:tab/>
        </w:r>
        <w:r w:rsidR="00C309C5" w:rsidRPr="006E6B7A">
          <w:rPr>
            <w:rStyle w:val="Hypertextovodkaz"/>
          </w:rPr>
          <w:t>Úprava režimu povrchových a podzemních vod a čerpání</w:t>
        </w:r>
        <w:r w:rsidR="00C309C5">
          <w:rPr>
            <w:webHidden/>
          </w:rPr>
          <w:tab/>
        </w:r>
        <w:r w:rsidR="00C309C5">
          <w:rPr>
            <w:webHidden/>
          </w:rPr>
          <w:fldChar w:fldCharType="begin"/>
        </w:r>
        <w:r w:rsidR="00C309C5">
          <w:rPr>
            <w:webHidden/>
          </w:rPr>
          <w:instrText xml:space="preserve"> PAGEREF _Toc62201063 \h </w:instrText>
        </w:r>
        <w:r w:rsidR="00C309C5">
          <w:rPr>
            <w:webHidden/>
          </w:rPr>
        </w:r>
        <w:r w:rsidR="00C309C5">
          <w:rPr>
            <w:webHidden/>
          </w:rPr>
          <w:fldChar w:fldCharType="separate"/>
        </w:r>
        <w:r w:rsidR="00C309C5">
          <w:rPr>
            <w:webHidden/>
          </w:rPr>
          <w:t>8</w:t>
        </w:r>
        <w:r w:rsidR="00C309C5">
          <w:rPr>
            <w:webHidden/>
          </w:rPr>
          <w:fldChar w:fldCharType="end"/>
        </w:r>
      </w:hyperlink>
    </w:p>
    <w:p w14:paraId="5587C0A7" w14:textId="23743CE6" w:rsidR="00C309C5" w:rsidRDefault="00B04B88">
      <w:pPr>
        <w:pStyle w:val="Obsah2"/>
        <w:rPr>
          <w:rFonts w:asciiTheme="minorHAnsi" w:eastAsiaTheme="minorEastAsia" w:hAnsiTheme="minorHAnsi" w:cstheme="minorBidi"/>
          <w:szCs w:val="22"/>
        </w:rPr>
      </w:pPr>
      <w:hyperlink w:anchor="_Toc62201064" w:history="1">
        <w:r w:rsidR="00C309C5" w:rsidRPr="006E6B7A">
          <w:rPr>
            <w:rStyle w:val="Hypertextovodkaz"/>
          </w:rPr>
          <w:t>3.9</w:t>
        </w:r>
        <w:r w:rsidR="00C309C5">
          <w:rPr>
            <w:rFonts w:asciiTheme="minorHAnsi" w:eastAsiaTheme="minorEastAsia" w:hAnsiTheme="minorHAnsi" w:cstheme="minorBidi"/>
            <w:szCs w:val="22"/>
          </w:rPr>
          <w:tab/>
        </w:r>
        <w:r w:rsidR="00C309C5" w:rsidRPr="006E6B7A">
          <w:rPr>
            <w:rStyle w:val="Hypertextovodkaz"/>
          </w:rPr>
          <w:t>Rušení stávajících stok a objektů</w:t>
        </w:r>
        <w:r w:rsidR="00C309C5">
          <w:rPr>
            <w:webHidden/>
          </w:rPr>
          <w:tab/>
        </w:r>
        <w:r w:rsidR="00C309C5">
          <w:rPr>
            <w:webHidden/>
          </w:rPr>
          <w:fldChar w:fldCharType="begin"/>
        </w:r>
        <w:r w:rsidR="00C309C5">
          <w:rPr>
            <w:webHidden/>
          </w:rPr>
          <w:instrText xml:space="preserve"> PAGEREF _Toc62201064 \h </w:instrText>
        </w:r>
        <w:r w:rsidR="00C309C5">
          <w:rPr>
            <w:webHidden/>
          </w:rPr>
        </w:r>
        <w:r w:rsidR="00C309C5">
          <w:rPr>
            <w:webHidden/>
          </w:rPr>
          <w:fldChar w:fldCharType="separate"/>
        </w:r>
        <w:r w:rsidR="00C309C5">
          <w:rPr>
            <w:webHidden/>
          </w:rPr>
          <w:t>8</w:t>
        </w:r>
        <w:r w:rsidR="00C309C5">
          <w:rPr>
            <w:webHidden/>
          </w:rPr>
          <w:fldChar w:fldCharType="end"/>
        </w:r>
      </w:hyperlink>
    </w:p>
    <w:p w14:paraId="53F69BA3" w14:textId="54F819E4" w:rsidR="00C309C5" w:rsidRDefault="00B04B88">
      <w:pPr>
        <w:pStyle w:val="Obsah3"/>
        <w:tabs>
          <w:tab w:val="left" w:pos="1440"/>
          <w:tab w:val="right" w:leader="dot" w:pos="9627"/>
        </w:tabs>
        <w:rPr>
          <w:rFonts w:asciiTheme="minorHAnsi" w:eastAsiaTheme="minorEastAsia" w:hAnsiTheme="minorHAnsi" w:cstheme="minorBidi"/>
          <w:noProof/>
          <w:szCs w:val="22"/>
        </w:rPr>
      </w:pPr>
      <w:hyperlink w:anchor="_Toc62201065" w:history="1">
        <w:r w:rsidR="00C309C5" w:rsidRPr="006E6B7A">
          <w:rPr>
            <w:rStyle w:val="Hypertextovodkaz"/>
            <w:noProof/>
          </w:rPr>
          <w:t>3.9.1</w:t>
        </w:r>
        <w:r w:rsidR="00C309C5">
          <w:rPr>
            <w:rFonts w:asciiTheme="minorHAnsi" w:eastAsiaTheme="minorEastAsia" w:hAnsiTheme="minorHAnsi" w:cstheme="minorBidi"/>
            <w:noProof/>
            <w:szCs w:val="22"/>
          </w:rPr>
          <w:tab/>
        </w:r>
        <w:r w:rsidR="00C309C5" w:rsidRPr="006E6B7A">
          <w:rPr>
            <w:rStyle w:val="Hypertextovodkaz"/>
            <w:noProof/>
          </w:rPr>
          <w:t>Likvidované stoky</w:t>
        </w:r>
        <w:r w:rsidR="00C309C5">
          <w:rPr>
            <w:noProof/>
            <w:webHidden/>
          </w:rPr>
          <w:tab/>
        </w:r>
        <w:r w:rsidR="00C309C5">
          <w:rPr>
            <w:noProof/>
            <w:webHidden/>
          </w:rPr>
          <w:fldChar w:fldCharType="begin"/>
        </w:r>
        <w:r w:rsidR="00C309C5">
          <w:rPr>
            <w:noProof/>
            <w:webHidden/>
          </w:rPr>
          <w:instrText xml:space="preserve"> PAGEREF _Toc62201065 \h </w:instrText>
        </w:r>
        <w:r w:rsidR="00C309C5">
          <w:rPr>
            <w:noProof/>
            <w:webHidden/>
          </w:rPr>
        </w:r>
        <w:r w:rsidR="00C309C5">
          <w:rPr>
            <w:noProof/>
            <w:webHidden/>
          </w:rPr>
          <w:fldChar w:fldCharType="separate"/>
        </w:r>
        <w:r w:rsidR="00C309C5">
          <w:rPr>
            <w:noProof/>
            <w:webHidden/>
          </w:rPr>
          <w:t>8</w:t>
        </w:r>
        <w:r w:rsidR="00C309C5">
          <w:rPr>
            <w:noProof/>
            <w:webHidden/>
          </w:rPr>
          <w:fldChar w:fldCharType="end"/>
        </w:r>
      </w:hyperlink>
    </w:p>
    <w:p w14:paraId="36BD954E" w14:textId="3C79C757" w:rsidR="00C309C5" w:rsidRDefault="00B04B88">
      <w:pPr>
        <w:pStyle w:val="Obsah3"/>
        <w:tabs>
          <w:tab w:val="left" w:pos="1440"/>
          <w:tab w:val="right" w:leader="dot" w:pos="9627"/>
        </w:tabs>
        <w:rPr>
          <w:rFonts w:asciiTheme="minorHAnsi" w:eastAsiaTheme="minorEastAsia" w:hAnsiTheme="minorHAnsi" w:cstheme="minorBidi"/>
          <w:noProof/>
          <w:szCs w:val="22"/>
        </w:rPr>
      </w:pPr>
      <w:hyperlink w:anchor="_Toc62201066" w:history="1">
        <w:r w:rsidR="00C309C5" w:rsidRPr="006E6B7A">
          <w:rPr>
            <w:rStyle w:val="Hypertextovodkaz"/>
            <w:noProof/>
          </w:rPr>
          <w:t>3.9.2</w:t>
        </w:r>
        <w:r w:rsidR="00C309C5">
          <w:rPr>
            <w:rFonts w:asciiTheme="minorHAnsi" w:eastAsiaTheme="minorEastAsia" w:hAnsiTheme="minorHAnsi" w:cstheme="minorBidi"/>
            <w:noProof/>
            <w:szCs w:val="22"/>
          </w:rPr>
          <w:tab/>
        </w:r>
        <w:r w:rsidR="00C309C5" w:rsidRPr="006E6B7A">
          <w:rPr>
            <w:rStyle w:val="Hypertextovodkaz"/>
            <w:noProof/>
          </w:rPr>
          <w:t>Likvidované objekty</w:t>
        </w:r>
        <w:r w:rsidR="00C309C5">
          <w:rPr>
            <w:noProof/>
            <w:webHidden/>
          </w:rPr>
          <w:tab/>
        </w:r>
        <w:r w:rsidR="00C309C5">
          <w:rPr>
            <w:noProof/>
            <w:webHidden/>
          </w:rPr>
          <w:fldChar w:fldCharType="begin"/>
        </w:r>
        <w:r w:rsidR="00C309C5">
          <w:rPr>
            <w:noProof/>
            <w:webHidden/>
          </w:rPr>
          <w:instrText xml:space="preserve"> PAGEREF _Toc62201066 \h </w:instrText>
        </w:r>
        <w:r w:rsidR="00C309C5">
          <w:rPr>
            <w:noProof/>
            <w:webHidden/>
          </w:rPr>
        </w:r>
        <w:r w:rsidR="00C309C5">
          <w:rPr>
            <w:noProof/>
            <w:webHidden/>
          </w:rPr>
          <w:fldChar w:fldCharType="separate"/>
        </w:r>
        <w:r w:rsidR="00C309C5">
          <w:rPr>
            <w:noProof/>
            <w:webHidden/>
          </w:rPr>
          <w:t>9</w:t>
        </w:r>
        <w:r w:rsidR="00C309C5">
          <w:rPr>
            <w:noProof/>
            <w:webHidden/>
          </w:rPr>
          <w:fldChar w:fldCharType="end"/>
        </w:r>
      </w:hyperlink>
    </w:p>
    <w:p w14:paraId="2215AA0E" w14:textId="678438EA" w:rsidR="00C309C5" w:rsidRDefault="00B04B88">
      <w:pPr>
        <w:pStyle w:val="Obsah2"/>
        <w:rPr>
          <w:rFonts w:asciiTheme="minorHAnsi" w:eastAsiaTheme="minorEastAsia" w:hAnsiTheme="minorHAnsi" w:cstheme="minorBidi"/>
          <w:szCs w:val="22"/>
        </w:rPr>
      </w:pPr>
      <w:hyperlink w:anchor="_Toc62201067" w:history="1">
        <w:r w:rsidR="00C309C5" w:rsidRPr="006E6B7A">
          <w:rPr>
            <w:rStyle w:val="Hypertextovodkaz"/>
          </w:rPr>
          <w:t>3.10</w:t>
        </w:r>
        <w:r w:rsidR="00C309C5">
          <w:rPr>
            <w:rFonts w:asciiTheme="minorHAnsi" w:eastAsiaTheme="minorEastAsia" w:hAnsiTheme="minorHAnsi" w:cstheme="minorBidi"/>
            <w:szCs w:val="22"/>
          </w:rPr>
          <w:tab/>
        </w:r>
        <w:r w:rsidR="00C309C5" w:rsidRPr="006E6B7A">
          <w:rPr>
            <w:rStyle w:val="Hypertextovodkaz"/>
          </w:rPr>
          <w:t>Zvláštní požadavky na postup stavebních prací</w:t>
        </w:r>
        <w:r w:rsidR="00C309C5">
          <w:rPr>
            <w:webHidden/>
          </w:rPr>
          <w:tab/>
        </w:r>
        <w:r w:rsidR="00C309C5">
          <w:rPr>
            <w:webHidden/>
          </w:rPr>
          <w:fldChar w:fldCharType="begin"/>
        </w:r>
        <w:r w:rsidR="00C309C5">
          <w:rPr>
            <w:webHidden/>
          </w:rPr>
          <w:instrText xml:space="preserve"> PAGEREF _Toc62201067 \h </w:instrText>
        </w:r>
        <w:r w:rsidR="00C309C5">
          <w:rPr>
            <w:webHidden/>
          </w:rPr>
        </w:r>
        <w:r w:rsidR="00C309C5">
          <w:rPr>
            <w:webHidden/>
          </w:rPr>
          <w:fldChar w:fldCharType="separate"/>
        </w:r>
        <w:r w:rsidR="00C309C5">
          <w:rPr>
            <w:webHidden/>
          </w:rPr>
          <w:t>10</w:t>
        </w:r>
        <w:r w:rsidR="00C309C5">
          <w:rPr>
            <w:webHidden/>
          </w:rPr>
          <w:fldChar w:fldCharType="end"/>
        </w:r>
      </w:hyperlink>
    </w:p>
    <w:p w14:paraId="342990F6" w14:textId="68FEE3D4" w:rsidR="00C309C5" w:rsidRDefault="00B04B88">
      <w:pPr>
        <w:pStyle w:val="Obsah2"/>
        <w:rPr>
          <w:rFonts w:asciiTheme="minorHAnsi" w:eastAsiaTheme="minorEastAsia" w:hAnsiTheme="minorHAnsi" w:cstheme="minorBidi"/>
          <w:szCs w:val="22"/>
        </w:rPr>
      </w:pPr>
      <w:hyperlink w:anchor="_Toc62201068" w:history="1">
        <w:r w:rsidR="00C309C5" w:rsidRPr="006E6B7A">
          <w:rPr>
            <w:rStyle w:val="Hypertextovodkaz"/>
          </w:rPr>
          <w:t>3.11</w:t>
        </w:r>
        <w:r w:rsidR="00C309C5">
          <w:rPr>
            <w:rFonts w:asciiTheme="minorHAnsi" w:eastAsiaTheme="minorEastAsia" w:hAnsiTheme="minorHAnsi" w:cstheme="minorBidi"/>
            <w:szCs w:val="22"/>
          </w:rPr>
          <w:tab/>
        </w:r>
        <w:r w:rsidR="00C309C5" w:rsidRPr="006E6B7A">
          <w:rPr>
            <w:rStyle w:val="Hypertextovodkaz"/>
          </w:rPr>
          <w:t>Bezpečnost a ochrana zdraví při práci</w:t>
        </w:r>
        <w:r w:rsidR="00C309C5">
          <w:rPr>
            <w:webHidden/>
          </w:rPr>
          <w:tab/>
        </w:r>
        <w:r w:rsidR="00C309C5">
          <w:rPr>
            <w:webHidden/>
          </w:rPr>
          <w:fldChar w:fldCharType="begin"/>
        </w:r>
        <w:r w:rsidR="00C309C5">
          <w:rPr>
            <w:webHidden/>
          </w:rPr>
          <w:instrText xml:space="preserve"> PAGEREF _Toc62201068 \h </w:instrText>
        </w:r>
        <w:r w:rsidR="00C309C5">
          <w:rPr>
            <w:webHidden/>
          </w:rPr>
        </w:r>
        <w:r w:rsidR="00C309C5">
          <w:rPr>
            <w:webHidden/>
          </w:rPr>
          <w:fldChar w:fldCharType="separate"/>
        </w:r>
        <w:r w:rsidR="00C309C5">
          <w:rPr>
            <w:webHidden/>
          </w:rPr>
          <w:t>10</w:t>
        </w:r>
        <w:r w:rsidR="00C309C5">
          <w:rPr>
            <w:webHidden/>
          </w:rPr>
          <w:fldChar w:fldCharType="end"/>
        </w:r>
      </w:hyperlink>
    </w:p>
    <w:p w14:paraId="39AAF7D9" w14:textId="1AE98E81" w:rsidR="00C309C5" w:rsidRDefault="00B04B88">
      <w:pPr>
        <w:pStyle w:val="Obsah1"/>
        <w:tabs>
          <w:tab w:val="right" w:leader="dot" w:pos="9627"/>
        </w:tabs>
        <w:rPr>
          <w:rFonts w:asciiTheme="minorHAnsi" w:eastAsiaTheme="minorEastAsia" w:hAnsiTheme="minorHAnsi" w:cstheme="minorBidi"/>
          <w:b w:val="0"/>
          <w:bCs w:val="0"/>
          <w:noProof/>
          <w:color w:val="auto"/>
          <w:szCs w:val="22"/>
        </w:rPr>
      </w:pPr>
      <w:hyperlink w:anchor="_Toc62201069" w:history="1">
        <w:r w:rsidR="00C309C5" w:rsidRPr="006E6B7A">
          <w:rPr>
            <w:rStyle w:val="Hypertextovodkaz"/>
            <w:noProof/>
          </w:rPr>
          <w:t>4</w:t>
        </w:r>
        <w:r w:rsidR="00C309C5">
          <w:rPr>
            <w:rFonts w:asciiTheme="minorHAnsi" w:eastAsiaTheme="minorEastAsia" w:hAnsiTheme="minorHAnsi" w:cstheme="minorBidi"/>
            <w:b w:val="0"/>
            <w:bCs w:val="0"/>
            <w:noProof/>
            <w:color w:val="auto"/>
            <w:szCs w:val="22"/>
          </w:rPr>
          <w:tab/>
        </w:r>
        <w:r w:rsidR="00C309C5" w:rsidRPr="006E6B7A">
          <w:rPr>
            <w:rStyle w:val="Hypertextovodkaz"/>
            <w:noProof/>
          </w:rPr>
          <w:t>Věcné a časové vazby</w:t>
        </w:r>
        <w:r w:rsidR="00C309C5">
          <w:rPr>
            <w:noProof/>
            <w:webHidden/>
          </w:rPr>
          <w:tab/>
        </w:r>
        <w:r w:rsidR="00C309C5">
          <w:rPr>
            <w:noProof/>
            <w:webHidden/>
          </w:rPr>
          <w:fldChar w:fldCharType="begin"/>
        </w:r>
        <w:r w:rsidR="00C309C5">
          <w:rPr>
            <w:noProof/>
            <w:webHidden/>
          </w:rPr>
          <w:instrText xml:space="preserve"> PAGEREF _Toc62201069 \h </w:instrText>
        </w:r>
        <w:r w:rsidR="00C309C5">
          <w:rPr>
            <w:noProof/>
            <w:webHidden/>
          </w:rPr>
        </w:r>
        <w:r w:rsidR="00C309C5">
          <w:rPr>
            <w:noProof/>
            <w:webHidden/>
          </w:rPr>
          <w:fldChar w:fldCharType="separate"/>
        </w:r>
        <w:r w:rsidR="00C309C5">
          <w:rPr>
            <w:noProof/>
            <w:webHidden/>
          </w:rPr>
          <w:t>10</w:t>
        </w:r>
        <w:r w:rsidR="00C309C5">
          <w:rPr>
            <w:noProof/>
            <w:webHidden/>
          </w:rPr>
          <w:fldChar w:fldCharType="end"/>
        </w:r>
      </w:hyperlink>
    </w:p>
    <w:p w14:paraId="6EF3086F" w14:textId="46730761" w:rsidR="00C309C5" w:rsidRDefault="00B04B88">
      <w:pPr>
        <w:pStyle w:val="Obsah2"/>
        <w:rPr>
          <w:rFonts w:asciiTheme="minorHAnsi" w:eastAsiaTheme="minorEastAsia" w:hAnsiTheme="minorHAnsi" w:cstheme="minorBidi"/>
          <w:szCs w:val="22"/>
        </w:rPr>
      </w:pPr>
      <w:hyperlink w:anchor="_Toc62201070" w:history="1">
        <w:r w:rsidR="00C309C5" w:rsidRPr="006E6B7A">
          <w:rPr>
            <w:rStyle w:val="Hypertextovodkaz"/>
          </w:rPr>
          <w:t>4.1</w:t>
        </w:r>
        <w:r w:rsidR="00C309C5">
          <w:rPr>
            <w:rFonts w:asciiTheme="minorHAnsi" w:eastAsiaTheme="minorEastAsia" w:hAnsiTheme="minorHAnsi" w:cstheme="minorBidi"/>
            <w:szCs w:val="22"/>
          </w:rPr>
          <w:tab/>
        </w:r>
        <w:r w:rsidR="00C309C5" w:rsidRPr="006E6B7A">
          <w:rPr>
            <w:rStyle w:val="Hypertextovodkaz"/>
          </w:rPr>
          <w:t>Přeložky podzemních sítí</w:t>
        </w:r>
        <w:r w:rsidR="00C309C5">
          <w:rPr>
            <w:webHidden/>
          </w:rPr>
          <w:tab/>
        </w:r>
        <w:r w:rsidR="00C309C5">
          <w:rPr>
            <w:webHidden/>
          </w:rPr>
          <w:fldChar w:fldCharType="begin"/>
        </w:r>
        <w:r w:rsidR="00C309C5">
          <w:rPr>
            <w:webHidden/>
          </w:rPr>
          <w:instrText xml:space="preserve"> PAGEREF _Toc62201070 \h </w:instrText>
        </w:r>
        <w:r w:rsidR="00C309C5">
          <w:rPr>
            <w:webHidden/>
          </w:rPr>
        </w:r>
        <w:r w:rsidR="00C309C5">
          <w:rPr>
            <w:webHidden/>
          </w:rPr>
          <w:fldChar w:fldCharType="separate"/>
        </w:r>
        <w:r w:rsidR="00C309C5">
          <w:rPr>
            <w:webHidden/>
          </w:rPr>
          <w:t>10</w:t>
        </w:r>
        <w:r w:rsidR="00C309C5">
          <w:rPr>
            <w:webHidden/>
          </w:rPr>
          <w:fldChar w:fldCharType="end"/>
        </w:r>
      </w:hyperlink>
    </w:p>
    <w:p w14:paraId="7C978AE6" w14:textId="603EEEE3" w:rsidR="00C309C5" w:rsidRDefault="00B04B88">
      <w:pPr>
        <w:pStyle w:val="Obsah2"/>
        <w:rPr>
          <w:rFonts w:asciiTheme="minorHAnsi" w:eastAsiaTheme="minorEastAsia" w:hAnsiTheme="minorHAnsi" w:cstheme="minorBidi"/>
          <w:szCs w:val="22"/>
        </w:rPr>
      </w:pPr>
      <w:hyperlink w:anchor="_Toc62201071" w:history="1">
        <w:r w:rsidR="00C309C5" w:rsidRPr="006E6B7A">
          <w:rPr>
            <w:rStyle w:val="Hypertextovodkaz"/>
          </w:rPr>
          <w:t>4.2</w:t>
        </w:r>
        <w:r w:rsidR="00C309C5">
          <w:rPr>
            <w:rFonts w:asciiTheme="minorHAnsi" w:eastAsiaTheme="minorEastAsia" w:hAnsiTheme="minorHAnsi" w:cstheme="minorBidi"/>
            <w:szCs w:val="22"/>
          </w:rPr>
          <w:tab/>
        </w:r>
        <w:r w:rsidR="00C309C5" w:rsidRPr="006E6B7A">
          <w:rPr>
            <w:rStyle w:val="Hypertextovodkaz"/>
          </w:rPr>
          <w:t>Dopravní omezení</w:t>
        </w:r>
        <w:r w:rsidR="00C309C5">
          <w:rPr>
            <w:webHidden/>
          </w:rPr>
          <w:tab/>
        </w:r>
        <w:r w:rsidR="00C309C5">
          <w:rPr>
            <w:webHidden/>
          </w:rPr>
          <w:fldChar w:fldCharType="begin"/>
        </w:r>
        <w:r w:rsidR="00C309C5">
          <w:rPr>
            <w:webHidden/>
          </w:rPr>
          <w:instrText xml:space="preserve"> PAGEREF _Toc62201071 \h </w:instrText>
        </w:r>
        <w:r w:rsidR="00C309C5">
          <w:rPr>
            <w:webHidden/>
          </w:rPr>
        </w:r>
        <w:r w:rsidR="00C309C5">
          <w:rPr>
            <w:webHidden/>
          </w:rPr>
          <w:fldChar w:fldCharType="separate"/>
        </w:r>
        <w:r w:rsidR="00C309C5">
          <w:rPr>
            <w:webHidden/>
          </w:rPr>
          <w:t>10</w:t>
        </w:r>
        <w:r w:rsidR="00C309C5">
          <w:rPr>
            <w:webHidden/>
          </w:rPr>
          <w:fldChar w:fldCharType="end"/>
        </w:r>
      </w:hyperlink>
    </w:p>
    <w:p w14:paraId="5CB88E11" w14:textId="72536476" w:rsidR="00C309C5" w:rsidRDefault="00B04B88">
      <w:pPr>
        <w:pStyle w:val="Obsah2"/>
        <w:rPr>
          <w:rFonts w:asciiTheme="minorHAnsi" w:eastAsiaTheme="minorEastAsia" w:hAnsiTheme="minorHAnsi" w:cstheme="minorBidi"/>
          <w:szCs w:val="22"/>
        </w:rPr>
      </w:pPr>
      <w:hyperlink w:anchor="_Toc62201072" w:history="1">
        <w:r w:rsidR="00C309C5" w:rsidRPr="006E6B7A">
          <w:rPr>
            <w:rStyle w:val="Hypertextovodkaz"/>
          </w:rPr>
          <w:t>4.3</w:t>
        </w:r>
        <w:r w:rsidR="00C309C5">
          <w:rPr>
            <w:rFonts w:asciiTheme="minorHAnsi" w:eastAsiaTheme="minorEastAsia" w:hAnsiTheme="minorHAnsi" w:cstheme="minorBidi"/>
            <w:szCs w:val="22"/>
          </w:rPr>
          <w:tab/>
        </w:r>
        <w:r w:rsidR="00C309C5" w:rsidRPr="006E6B7A">
          <w:rPr>
            <w:rStyle w:val="Hypertextovodkaz"/>
          </w:rPr>
          <w:t>Všeobecně</w:t>
        </w:r>
        <w:r w:rsidR="00C309C5">
          <w:rPr>
            <w:webHidden/>
          </w:rPr>
          <w:tab/>
        </w:r>
        <w:r w:rsidR="00C309C5">
          <w:rPr>
            <w:webHidden/>
          </w:rPr>
          <w:fldChar w:fldCharType="begin"/>
        </w:r>
        <w:r w:rsidR="00C309C5">
          <w:rPr>
            <w:webHidden/>
          </w:rPr>
          <w:instrText xml:space="preserve"> PAGEREF _Toc62201072 \h </w:instrText>
        </w:r>
        <w:r w:rsidR="00C309C5">
          <w:rPr>
            <w:webHidden/>
          </w:rPr>
        </w:r>
        <w:r w:rsidR="00C309C5">
          <w:rPr>
            <w:webHidden/>
          </w:rPr>
          <w:fldChar w:fldCharType="separate"/>
        </w:r>
        <w:r w:rsidR="00C309C5">
          <w:rPr>
            <w:webHidden/>
          </w:rPr>
          <w:t>11</w:t>
        </w:r>
        <w:r w:rsidR="00C309C5">
          <w:rPr>
            <w:webHidden/>
          </w:rPr>
          <w:fldChar w:fldCharType="end"/>
        </w:r>
      </w:hyperlink>
    </w:p>
    <w:p w14:paraId="2F2F0D66" w14:textId="48071E56" w:rsidR="00C309C5" w:rsidRDefault="00B04B88">
      <w:pPr>
        <w:pStyle w:val="Obsah2"/>
        <w:rPr>
          <w:rFonts w:asciiTheme="minorHAnsi" w:eastAsiaTheme="minorEastAsia" w:hAnsiTheme="minorHAnsi" w:cstheme="minorBidi"/>
          <w:szCs w:val="22"/>
        </w:rPr>
      </w:pPr>
      <w:hyperlink w:anchor="_Toc62201073" w:history="1">
        <w:r w:rsidR="00C309C5" w:rsidRPr="006E6B7A">
          <w:rPr>
            <w:rStyle w:val="Hypertextovodkaz"/>
          </w:rPr>
          <w:t>4.4</w:t>
        </w:r>
        <w:r w:rsidR="00C309C5">
          <w:rPr>
            <w:rFonts w:asciiTheme="minorHAnsi" w:eastAsiaTheme="minorEastAsia" w:hAnsiTheme="minorHAnsi" w:cstheme="minorBidi"/>
            <w:szCs w:val="22"/>
          </w:rPr>
          <w:tab/>
        </w:r>
        <w:r w:rsidR="00C309C5" w:rsidRPr="006E6B7A">
          <w:rPr>
            <w:rStyle w:val="Hypertextovodkaz"/>
          </w:rPr>
          <w:t>Příprava pro výstavbu</w:t>
        </w:r>
        <w:r w:rsidR="00C309C5">
          <w:rPr>
            <w:webHidden/>
          </w:rPr>
          <w:tab/>
        </w:r>
        <w:r w:rsidR="00C309C5">
          <w:rPr>
            <w:webHidden/>
          </w:rPr>
          <w:fldChar w:fldCharType="begin"/>
        </w:r>
        <w:r w:rsidR="00C309C5">
          <w:rPr>
            <w:webHidden/>
          </w:rPr>
          <w:instrText xml:space="preserve"> PAGEREF _Toc62201073 \h </w:instrText>
        </w:r>
        <w:r w:rsidR="00C309C5">
          <w:rPr>
            <w:webHidden/>
          </w:rPr>
        </w:r>
        <w:r w:rsidR="00C309C5">
          <w:rPr>
            <w:webHidden/>
          </w:rPr>
          <w:fldChar w:fldCharType="separate"/>
        </w:r>
        <w:r w:rsidR="00C309C5">
          <w:rPr>
            <w:webHidden/>
          </w:rPr>
          <w:t>11</w:t>
        </w:r>
        <w:r w:rsidR="00C309C5">
          <w:rPr>
            <w:webHidden/>
          </w:rPr>
          <w:fldChar w:fldCharType="end"/>
        </w:r>
      </w:hyperlink>
    </w:p>
    <w:p w14:paraId="3B21D91F" w14:textId="73FBCA70" w:rsidR="00C309C5" w:rsidRDefault="00B04B88">
      <w:pPr>
        <w:pStyle w:val="Obsah1"/>
        <w:tabs>
          <w:tab w:val="right" w:leader="dot" w:pos="9627"/>
        </w:tabs>
        <w:rPr>
          <w:rFonts w:asciiTheme="minorHAnsi" w:eastAsiaTheme="minorEastAsia" w:hAnsiTheme="minorHAnsi" w:cstheme="minorBidi"/>
          <w:b w:val="0"/>
          <w:bCs w:val="0"/>
          <w:noProof/>
          <w:color w:val="auto"/>
          <w:szCs w:val="22"/>
        </w:rPr>
      </w:pPr>
      <w:hyperlink w:anchor="_Toc62201074" w:history="1">
        <w:r w:rsidR="00C309C5" w:rsidRPr="006E6B7A">
          <w:rPr>
            <w:rStyle w:val="Hypertextovodkaz"/>
            <w:noProof/>
          </w:rPr>
          <w:t>5</w:t>
        </w:r>
        <w:r w:rsidR="00C309C5">
          <w:rPr>
            <w:rFonts w:asciiTheme="minorHAnsi" w:eastAsiaTheme="minorEastAsia" w:hAnsiTheme="minorHAnsi" w:cstheme="minorBidi"/>
            <w:b w:val="0"/>
            <w:bCs w:val="0"/>
            <w:noProof/>
            <w:color w:val="auto"/>
            <w:szCs w:val="22"/>
          </w:rPr>
          <w:tab/>
        </w:r>
        <w:r w:rsidR="00C309C5" w:rsidRPr="006E6B7A">
          <w:rPr>
            <w:rStyle w:val="Hypertextovodkaz"/>
            <w:noProof/>
          </w:rPr>
          <w:t>Úprava ploch, oplocení, veřejná zeleň</w:t>
        </w:r>
        <w:r w:rsidR="00C309C5">
          <w:rPr>
            <w:noProof/>
            <w:webHidden/>
          </w:rPr>
          <w:tab/>
        </w:r>
        <w:r w:rsidR="00C309C5">
          <w:rPr>
            <w:noProof/>
            <w:webHidden/>
          </w:rPr>
          <w:fldChar w:fldCharType="begin"/>
        </w:r>
        <w:r w:rsidR="00C309C5">
          <w:rPr>
            <w:noProof/>
            <w:webHidden/>
          </w:rPr>
          <w:instrText xml:space="preserve"> PAGEREF _Toc62201074 \h </w:instrText>
        </w:r>
        <w:r w:rsidR="00C309C5">
          <w:rPr>
            <w:noProof/>
            <w:webHidden/>
          </w:rPr>
        </w:r>
        <w:r w:rsidR="00C309C5">
          <w:rPr>
            <w:noProof/>
            <w:webHidden/>
          </w:rPr>
          <w:fldChar w:fldCharType="separate"/>
        </w:r>
        <w:r w:rsidR="00C309C5">
          <w:rPr>
            <w:noProof/>
            <w:webHidden/>
          </w:rPr>
          <w:t>11</w:t>
        </w:r>
        <w:r w:rsidR="00C309C5">
          <w:rPr>
            <w:noProof/>
            <w:webHidden/>
          </w:rPr>
          <w:fldChar w:fldCharType="end"/>
        </w:r>
      </w:hyperlink>
    </w:p>
    <w:p w14:paraId="1C9356A7" w14:textId="3957471C" w:rsidR="00C309C5" w:rsidRDefault="00B04B88">
      <w:pPr>
        <w:pStyle w:val="Obsah1"/>
        <w:tabs>
          <w:tab w:val="right" w:leader="dot" w:pos="9627"/>
        </w:tabs>
        <w:rPr>
          <w:rFonts w:asciiTheme="minorHAnsi" w:eastAsiaTheme="minorEastAsia" w:hAnsiTheme="minorHAnsi" w:cstheme="minorBidi"/>
          <w:b w:val="0"/>
          <w:bCs w:val="0"/>
          <w:noProof/>
          <w:color w:val="auto"/>
          <w:szCs w:val="22"/>
        </w:rPr>
      </w:pPr>
      <w:hyperlink w:anchor="_Toc62201075" w:history="1">
        <w:r w:rsidR="00C309C5" w:rsidRPr="006E6B7A">
          <w:rPr>
            <w:rStyle w:val="Hypertextovodkaz"/>
            <w:noProof/>
          </w:rPr>
          <w:t>6</w:t>
        </w:r>
        <w:r w:rsidR="00C309C5">
          <w:rPr>
            <w:rFonts w:asciiTheme="minorHAnsi" w:eastAsiaTheme="minorEastAsia" w:hAnsiTheme="minorHAnsi" w:cstheme="minorBidi"/>
            <w:b w:val="0"/>
            <w:bCs w:val="0"/>
            <w:noProof/>
            <w:color w:val="auto"/>
            <w:szCs w:val="22"/>
          </w:rPr>
          <w:tab/>
        </w:r>
        <w:r w:rsidR="00C309C5" w:rsidRPr="006E6B7A">
          <w:rPr>
            <w:rStyle w:val="Hypertextovodkaz"/>
            <w:noProof/>
          </w:rPr>
          <w:t>Ochrana a péče o životní prostředí</w:t>
        </w:r>
        <w:r w:rsidR="00C309C5">
          <w:rPr>
            <w:noProof/>
            <w:webHidden/>
          </w:rPr>
          <w:tab/>
        </w:r>
        <w:r w:rsidR="00C309C5">
          <w:rPr>
            <w:noProof/>
            <w:webHidden/>
          </w:rPr>
          <w:fldChar w:fldCharType="begin"/>
        </w:r>
        <w:r w:rsidR="00C309C5">
          <w:rPr>
            <w:noProof/>
            <w:webHidden/>
          </w:rPr>
          <w:instrText xml:space="preserve"> PAGEREF _Toc62201075 \h </w:instrText>
        </w:r>
        <w:r w:rsidR="00C309C5">
          <w:rPr>
            <w:noProof/>
            <w:webHidden/>
          </w:rPr>
        </w:r>
        <w:r w:rsidR="00C309C5">
          <w:rPr>
            <w:noProof/>
            <w:webHidden/>
          </w:rPr>
          <w:fldChar w:fldCharType="separate"/>
        </w:r>
        <w:r w:rsidR="00C309C5">
          <w:rPr>
            <w:noProof/>
            <w:webHidden/>
          </w:rPr>
          <w:t>11</w:t>
        </w:r>
        <w:r w:rsidR="00C309C5">
          <w:rPr>
            <w:noProof/>
            <w:webHidden/>
          </w:rPr>
          <w:fldChar w:fldCharType="end"/>
        </w:r>
      </w:hyperlink>
    </w:p>
    <w:p w14:paraId="5B6FF6B8" w14:textId="3EFE9A00" w:rsidR="00C309C5" w:rsidRDefault="00B04B88">
      <w:pPr>
        <w:pStyle w:val="Obsah2"/>
        <w:rPr>
          <w:rFonts w:asciiTheme="minorHAnsi" w:eastAsiaTheme="minorEastAsia" w:hAnsiTheme="minorHAnsi" w:cstheme="minorBidi"/>
          <w:szCs w:val="22"/>
        </w:rPr>
      </w:pPr>
      <w:hyperlink w:anchor="_Toc62201076" w:history="1">
        <w:r w:rsidR="00C309C5" w:rsidRPr="006E6B7A">
          <w:rPr>
            <w:rStyle w:val="Hypertextovodkaz"/>
          </w:rPr>
          <w:t>6.1</w:t>
        </w:r>
        <w:r w:rsidR="00C309C5">
          <w:rPr>
            <w:rFonts w:asciiTheme="minorHAnsi" w:eastAsiaTheme="minorEastAsia" w:hAnsiTheme="minorHAnsi" w:cstheme="minorBidi"/>
            <w:szCs w:val="22"/>
          </w:rPr>
          <w:tab/>
        </w:r>
        <w:r w:rsidR="00C309C5" w:rsidRPr="006E6B7A">
          <w:rPr>
            <w:rStyle w:val="Hypertextovodkaz"/>
          </w:rPr>
          <w:t>Vliv stavby na okolní prostředí</w:t>
        </w:r>
        <w:r w:rsidR="00C309C5">
          <w:rPr>
            <w:webHidden/>
          </w:rPr>
          <w:tab/>
        </w:r>
        <w:r w:rsidR="00C309C5">
          <w:rPr>
            <w:webHidden/>
          </w:rPr>
          <w:fldChar w:fldCharType="begin"/>
        </w:r>
        <w:r w:rsidR="00C309C5">
          <w:rPr>
            <w:webHidden/>
          </w:rPr>
          <w:instrText xml:space="preserve"> PAGEREF _Toc62201076 \h </w:instrText>
        </w:r>
        <w:r w:rsidR="00C309C5">
          <w:rPr>
            <w:webHidden/>
          </w:rPr>
        </w:r>
        <w:r w:rsidR="00C309C5">
          <w:rPr>
            <w:webHidden/>
          </w:rPr>
          <w:fldChar w:fldCharType="separate"/>
        </w:r>
        <w:r w:rsidR="00C309C5">
          <w:rPr>
            <w:webHidden/>
          </w:rPr>
          <w:t>11</w:t>
        </w:r>
        <w:r w:rsidR="00C309C5">
          <w:rPr>
            <w:webHidden/>
          </w:rPr>
          <w:fldChar w:fldCharType="end"/>
        </w:r>
      </w:hyperlink>
    </w:p>
    <w:p w14:paraId="7158D791" w14:textId="34A38ABF" w:rsidR="00C309C5" w:rsidRDefault="00B04B88">
      <w:pPr>
        <w:pStyle w:val="Obsah2"/>
        <w:rPr>
          <w:rFonts w:asciiTheme="minorHAnsi" w:eastAsiaTheme="minorEastAsia" w:hAnsiTheme="minorHAnsi" w:cstheme="minorBidi"/>
          <w:szCs w:val="22"/>
        </w:rPr>
      </w:pPr>
      <w:hyperlink w:anchor="_Toc62201077" w:history="1">
        <w:r w:rsidR="00C309C5" w:rsidRPr="006E6B7A">
          <w:rPr>
            <w:rStyle w:val="Hypertextovodkaz"/>
          </w:rPr>
          <w:t>6.2</w:t>
        </w:r>
        <w:r w:rsidR="00C309C5">
          <w:rPr>
            <w:rFonts w:asciiTheme="minorHAnsi" w:eastAsiaTheme="minorEastAsia" w:hAnsiTheme="minorHAnsi" w:cstheme="minorBidi"/>
            <w:szCs w:val="22"/>
          </w:rPr>
          <w:tab/>
        </w:r>
        <w:r w:rsidR="00C309C5" w:rsidRPr="006E6B7A">
          <w:rPr>
            <w:rStyle w:val="Hypertextovodkaz"/>
          </w:rPr>
          <w:t>Protipožární zabezpečení stavby</w:t>
        </w:r>
        <w:r w:rsidR="00C309C5">
          <w:rPr>
            <w:webHidden/>
          </w:rPr>
          <w:tab/>
        </w:r>
        <w:r w:rsidR="00C309C5">
          <w:rPr>
            <w:webHidden/>
          </w:rPr>
          <w:fldChar w:fldCharType="begin"/>
        </w:r>
        <w:r w:rsidR="00C309C5">
          <w:rPr>
            <w:webHidden/>
          </w:rPr>
          <w:instrText xml:space="preserve"> PAGEREF _Toc62201077 \h </w:instrText>
        </w:r>
        <w:r w:rsidR="00C309C5">
          <w:rPr>
            <w:webHidden/>
          </w:rPr>
        </w:r>
        <w:r w:rsidR="00C309C5">
          <w:rPr>
            <w:webHidden/>
          </w:rPr>
          <w:fldChar w:fldCharType="separate"/>
        </w:r>
        <w:r w:rsidR="00C309C5">
          <w:rPr>
            <w:webHidden/>
          </w:rPr>
          <w:t>12</w:t>
        </w:r>
        <w:r w:rsidR="00C309C5">
          <w:rPr>
            <w:webHidden/>
          </w:rPr>
          <w:fldChar w:fldCharType="end"/>
        </w:r>
      </w:hyperlink>
    </w:p>
    <w:p w14:paraId="7852D700" w14:textId="549031F7" w:rsidR="00C309C5" w:rsidRDefault="00B04B88">
      <w:pPr>
        <w:pStyle w:val="Obsah2"/>
        <w:rPr>
          <w:rFonts w:asciiTheme="minorHAnsi" w:eastAsiaTheme="minorEastAsia" w:hAnsiTheme="minorHAnsi" w:cstheme="minorBidi"/>
          <w:szCs w:val="22"/>
        </w:rPr>
      </w:pPr>
      <w:hyperlink w:anchor="_Toc62201078" w:history="1">
        <w:r w:rsidR="00C309C5" w:rsidRPr="006E6B7A">
          <w:rPr>
            <w:rStyle w:val="Hypertextovodkaz"/>
          </w:rPr>
          <w:t>6.3</w:t>
        </w:r>
        <w:r w:rsidR="00C309C5">
          <w:rPr>
            <w:rFonts w:asciiTheme="minorHAnsi" w:eastAsiaTheme="minorEastAsia" w:hAnsiTheme="minorHAnsi" w:cstheme="minorBidi"/>
            <w:szCs w:val="22"/>
          </w:rPr>
          <w:tab/>
        </w:r>
        <w:r w:rsidR="00C309C5" w:rsidRPr="006E6B7A">
          <w:rPr>
            <w:rStyle w:val="Hypertextovodkaz"/>
          </w:rPr>
          <w:t>Řešení protikorozní ochrany</w:t>
        </w:r>
        <w:r w:rsidR="00C309C5">
          <w:rPr>
            <w:webHidden/>
          </w:rPr>
          <w:tab/>
        </w:r>
        <w:r w:rsidR="00C309C5">
          <w:rPr>
            <w:webHidden/>
          </w:rPr>
          <w:fldChar w:fldCharType="begin"/>
        </w:r>
        <w:r w:rsidR="00C309C5">
          <w:rPr>
            <w:webHidden/>
          </w:rPr>
          <w:instrText xml:space="preserve"> PAGEREF _Toc62201078 \h </w:instrText>
        </w:r>
        <w:r w:rsidR="00C309C5">
          <w:rPr>
            <w:webHidden/>
          </w:rPr>
        </w:r>
        <w:r w:rsidR="00C309C5">
          <w:rPr>
            <w:webHidden/>
          </w:rPr>
          <w:fldChar w:fldCharType="separate"/>
        </w:r>
        <w:r w:rsidR="00C309C5">
          <w:rPr>
            <w:webHidden/>
          </w:rPr>
          <w:t>12</w:t>
        </w:r>
        <w:r w:rsidR="00C309C5">
          <w:rPr>
            <w:webHidden/>
          </w:rPr>
          <w:fldChar w:fldCharType="end"/>
        </w:r>
      </w:hyperlink>
    </w:p>
    <w:p w14:paraId="1D0F089F" w14:textId="5500FC23" w:rsidR="00C309C5" w:rsidRDefault="00B04B88">
      <w:pPr>
        <w:pStyle w:val="Obsah2"/>
        <w:rPr>
          <w:rFonts w:asciiTheme="minorHAnsi" w:eastAsiaTheme="minorEastAsia" w:hAnsiTheme="minorHAnsi" w:cstheme="minorBidi"/>
          <w:szCs w:val="22"/>
        </w:rPr>
      </w:pPr>
      <w:hyperlink w:anchor="_Toc62201079" w:history="1">
        <w:r w:rsidR="00C309C5" w:rsidRPr="006E6B7A">
          <w:rPr>
            <w:rStyle w:val="Hypertextovodkaz"/>
          </w:rPr>
          <w:t>6.4</w:t>
        </w:r>
        <w:r w:rsidR="00C309C5">
          <w:rPr>
            <w:rFonts w:asciiTheme="minorHAnsi" w:eastAsiaTheme="minorEastAsia" w:hAnsiTheme="minorHAnsi" w:cstheme="minorBidi"/>
            <w:szCs w:val="22"/>
          </w:rPr>
          <w:tab/>
        </w:r>
        <w:r w:rsidR="00C309C5" w:rsidRPr="006E6B7A">
          <w:rPr>
            <w:rStyle w:val="Hypertextovodkaz"/>
          </w:rPr>
          <w:t>Údaje o recipientu</w:t>
        </w:r>
        <w:r w:rsidR="00C309C5">
          <w:rPr>
            <w:webHidden/>
          </w:rPr>
          <w:tab/>
        </w:r>
        <w:r w:rsidR="00C309C5">
          <w:rPr>
            <w:webHidden/>
          </w:rPr>
          <w:fldChar w:fldCharType="begin"/>
        </w:r>
        <w:r w:rsidR="00C309C5">
          <w:rPr>
            <w:webHidden/>
          </w:rPr>
          <w:instrText xml:space="preserve"> PAGEREF _Toc62201079 \h </w:instrText>
        </w:r>
        <w:r w:rsidR="00C309C5">
          <w:rPr>
            <w:webHidden/>
          </w:rPr>
        </w:r>
        <w:r w:rsidR="00C309C5">
          <w:rPr>
            <w:webHidden/>
          </w:rPr>
          <w:fldChar w:fldCharType="separate"/>
        </w:r>
        <w:r w:rsidR="00C309C5">
          <w:rPr>
            <w:webHidden/>
          </w:rPr>
          <w:t>12</w:t>
        </w:r>
        <w:r w:rsidR="00C309C5">
          <w:rPr>
            <w:webHidden/>
          </w:rPr>
          <w:fldChar w:fldCharType="end"/>
        </w:r>
      </w:hyperlink>
    </w:p>
    <w:p w14:paraId="64CA8BB5" w14:textId="0CFC4304" w:rsidR="00C309C5" w:rsidRDefault="00B04B88">
      <w:pPr>
        <w:pStyle w:val="Obsah2"/>
        <w:rPr>
          <w:rFonts w:asciiTheme="minorHAnsi" w:eastAsiaTheme="minorEastAsia" w:hAnsiTheme="minorHAnsi" w:cstheme="minorBidi"/>
          <w:szCs w:val="22"/>
        </w:rPr>
      </w:pPr>
      <w:hyperlink w:anchor="_Toc62201080" w:history="1">
        <w:r w:rsidR="00C309C5" w:rsidRPr="006E6B7A">
          <w:rPr>
            <w:rStyle w:val="Hypertextovodkaz"/>
          </w:rPr>
          <w:t>6.5</w:t>
        </w:r>
        <w:r w:rsidR="00C309C5">
          <w:rPr>
            <w:rFonts w:asciiTheme="minorHAnsi" w:eastAsiaTheme="minorEastAsia" w:hAnsiTheme="minorHAnsi" w:cstheme="minorBidi"/>
            <w:szCs w:val="22"/>
          </w:rPr>
          <w:tab/>
        </w:r>
        <w:r w:rsidR="00C309C5" w:rsidRPr="006E6B7A">
          <w:rPr>
            <w:rStyle w:val="Hypertextovodkaz"/>
          </w:rPr>
          <w:t>Stanovení ochranných pásem</w:t>
        </w:r>
        <w:r w:rsidR="00C309C5">
          <w:rPr>
            <w:webHidden/>
          </w:rPr>
          <w:tab/>
        </w:r>
        <w:r w:rsidR="00C309C5">
          <w:rPr>
            <w:webHidden/>
          </w:rPr>
          <w:fldChar w:fldCharType="begin"/>
        </w:r>
        <w:r w:rsidR="00C309C5">
          <w:rPr>
            <w:webHidden/>
          </w:rPr>
          <w:instrText xml:space="preserve"> PAGEREF _Toc62201080 \h </w:instrText>
        </w:r>
        <w:r w:rsidR="00C309C5">
          <w:rPr>
            <w:webHidden/>
          </w:rPr>
        </w:r>
        <w:r w:rsidR="00C309C5">
          <w:rPr>
            <w:webHidden/>
          </w:rPr>
          <w:fldChar w:fldCharType="separate"/>
        </w:r>
        <w:r w:rsidR="00C309C5">
          <w:rPr>
            <w:webHidden/>
          </w:rPr>
          <w:t>12</w:t>
        </w:r>
        <w:r w:rsidR="00C309C5">
          <w:rPr>
            <w:webHidden/>
          </w:rPr>
          <w:fldChar w:fldCharType="end"/>
        </w:r>
      </w:hyperlink>
    </w:p>
    <w:p w14:paraId="495E97B0" w14:textId="62593C7C" w:rsidR="00C309C5" w:rsidRDefault="00B04B88">
      <w:pPr>
        <w:pStyle w:val="Obsah1"/>
        <w:tabs>
          <w:tab w:val="right" w:leader="dot" w:pos="9627"/>
        </w:tabs>
        <w:rPr>
          <w:rFonts w:asciiTheme="minorHAnsi" w:eastAsiaTheme="minorEastAsia" w:hAnsiTheme="minorHAnsi" w:cstheme="minorBidi"/>
          <w:b w:val="0"/>
          <w:bCs w:val="0"/>
          <w:noProof/>
          <w:color w:val="auto"/>
          <w:szCs w:val="22"/>
        </w:rPr>
      </w:pPr>
      <w:hyperlink w:anchor="_Toc62201081" w:history="1">
        <w:r w:rsidR="00C309C5" w:rsidRPr="006E6B7A">
          <w:rPr>
            <w:rStyle w:val="Hypertextovodkaz"/>
            <w:noProof/>
          </w:rPr>
          <w:t>7</w:t>
        </w:r>
        <w:r w:rsidR="00C309C5">
          <w:rPr>
            <w:rFonts w:asciiTheme="minorHAnsi" w:eastAsiaTheme="minorEastAsia" w:hAnsiTheme="minorHAnsi" w:cstheme="minorBidi"/>
            <w:b w:val="0"/>
            <w:bCs w:val="0"/>
            <w:noProof/>
            <w:color w:val="auto"/>
            <w:szCs w:val="22"/>
          </w:rPr>
          <w:tab/>
        </w:r>
        <w:r w:rsidR="00C309C5" w:rsidRPr="006E6B7A">
          <w:rPr>
            <w:rStyle w:val="Hypertextovodkaz"/>
            <w:noProof/>
          </w:rPr>
          <w:t>Vytýčení stavby</w:t>
        </w:r>
        <w:r w:rsidR="00C309C5">
          <w:rPr>
            <w:noProof/>
            <w:webHidden/>
          </w:rPr>
          <w:tab/>
        </w:r>
        <w:r w:rsidR="00C309C5">
          <w:rPr>
            <w:noProof/>
            <w:webHidden/>
          </w:rPr>
          <w:fldChar w:fldCharType="begin"/>
        </w:r>
        <w:r w:rsidR="00C309C5">
          <w:rPr>
            <w:noProof/>
            <w:webHidden/>
          </w:rPr>
          <w:instrText xml:space="preserve"> PAGEREF _Toc62201081 \h </w:instrText>
        </w:r>
        <w:r w:rsidR="00C309C5">
          <w:rPr>
            <w:noProof/>
            <w:webHidden/>
          </w:rPr>
        </w:r>
        <w:r w:rsidR="00C309C5">
          <w:rPr>
            <w:noProof/>
            <w:webHidden/>
          </w:rPr>
          <w:fldChar w:fldCharType="separate"/>
        </w:r>
        <w:r w:rsidR="00C309C5">
          <w:rPr>
            <w:noProof/>
            <w:webHidden/>
          </w:rPr>
          <w:t>12</w:t>
        </w:r>
        <w:r w:rsidR="00C309C5">
          <w:rPr>
            <w:noProof/>
            <w:webHidden/>
          </w:rPr>
          <w:fldChar w:fldCharType="end"/>
        </w:r>
      </w:hyperlink>
    </w:p>
    <w:p w14:paraId="4CEE1B38" w14:textId="05818F20" w:rsidR="00C309C5" w:rsidRDefault="00B04B88">
      <w:pPr>
        <w:pStyle w:val="Obsah1"/>
        <w:tabs>
          <w:tab w:val="right" w:leader="dot" w:pos="9627"/>
        </w:tabs>
        <w:rPr>
          <w:rFonts w:asciiTheme="minorHAnsi" w:eastAsiaTheme="minorEastAsia" w:hAnsiTheme="minorHAnsi" w:cstheme="minorBidi"/>
          <w:b w:val="0"/>
          <w:bCs w:val="0"/>
          <w:noProof/>
          <w:color w:val="auto"/>
          <w:szCs w:val="22"/>
        </w:rPr>
      </w:pPr>
      <w:hyperlink w:anchor="_Toc62201082" w:history="1">
        <w:r w:rsidR="00C309C5" w:rsidRPr="006E6B7A">
          <w:rPr>
            <w:rStyle w:val="Hypertextovodkaz"/>
            <w:noProof/>
          </w:rPr>
          <w:t>8</w:t>
        </w:r>
        <w:r w:rsidR="00C309C5">
          <w:rPr>
            <w:rFonts w:asciiTheme="minorHAnsi" w:eastAsiaTheme="minorEastAsia" w:hAnsiTheme="minorHAnsi" w:cstheme="minorBidi"/>
            <w:b w:val="0"/>
            <w:bCs w:val="0"/>
            <w:noProof/>
            <w:color w:val="auto"/>
            <w:szCs w:val="22"/>
          </w:rPr>
          <w:tab/>
        </w:r>
        <w:r w:rsidR="00C309C5" w:rsidRPr="006E6B7A">
          <w:rPr>
            <w:rStyle w:val="Hypertextovodkaz"/>
            <w:noProof/>
          </w:rPr>
          <w:t>Údaje o technologické části stavby</w:t>
        </w:r>
        <w:r w:rsidR="00C309C5">
          <w:rPr>
            <w:noProof/>
            <w:webHidden/>
          </w:rPr>
          <w:tab/>
        </w:r>
        <w:r w:rsidR="00C309C5">
          <w:rPr>
            <w:noProof/>
            <w:webHidden/>
          </w:rPr>
          <w:fldChar w:fldCharType="begin"/>
        </w:r>
        <w:r w:rsidR="00C309C5">
          <w:rPr>
            <w:noProof/>
            <w:webHidden/>
          </w:rPr>
          <w:instrText xml:space="preserve"> PAGEREF _Toc62201082 \h </w:instrText>
        </w:r>
        <w:r w:rsidR="00C309C5">
          <w:rPr>
            <w:noProof/>
            <w:webHidden/>
          </w:rPr>
        </w:r>
        <w:r w:rsidR="00C309C5">
          <w:rPr>
            <w:noProof/>
            <w:webHidden/>
          </w:rPr>
          <w:fldChar w:fldCharType="separate"/>
        </w:r>
        <w:r w:rsidR="00C309C5">
          <w:rPr>
            <w:noProof/>
            <w:webHidden/>
          </w:rPr>
          <w:t>13</w:t>
        </w:r>
        <w:r w:rsidR="00C309C5">
          <w:rPr>
            <w:noProof/>
            <w:webHidden/>
          </w:rPr>
          <w:fldChar w:fldCharType="end"/>
        </w:r>
      </w:hyperlink>
    </w:p>
    <w:p w14:paraId="65971CD7" w14:textId="44DC9EE6" w:rsidR="00C309C5" w:rsidRDefault="00B04B88">
      <w:pPr>
        <w:pStyle w:val="Obsah1"/>
        <w:tabs>
          <w:tab w:val="right" w:leader="dot" w:pos="9627"/>
        </w:tabs>
        <w:rPr>
          <w:rFonts w:asciiTheme="minorHAnsi" w:eastAsiaTheme="minorEastAsia" w:hAnsiTheme="minorHAnsi" w:cstheme="minorBidi"/>
          <w:b w:val="0"/>
          <w:bCs w:val="0"/>
          <w:noProof/>
          <w:color w:val="auto"/>
          <w:szCs w:val="22"/>
        </w:rPr>
      </w:pPr>
      <w:hyperlink w:anchor="_Toc62201083" w:history="1">
        <w:r w:rsidR="00C309C5" w:rsidRPr="006E6B7A">
          <w:rPr>
            <w:rStyle w:val="Hypertextovodkaz"/>
            <w:noProof/>
          </w:rPr>
          <w:t>9</w:t>
        </w:r>
        <w:r w:rsidR="00C309C5">
          <w:rPr>
            <w:rFonts w:asciiTheme="minorHAnsi" w:eastAsiaTheme="minorEastAsia" w:hAnsiTheme="minorHAnsi" w:cstheme="minorBidi"/>
            <w:b w:val="0"/>
            <w:bCs w:val="0"/>
            <w:noProof/>
            <w:color w:val="auto"/>
            <w:szCs w:val="22"/>
          </w:rPr>
          <w:tab/>
        </w:r>
        <w:r w:rsidR="00C309C5" w:rsidRPr="006E6B7A">
          <w:rPr>
            <w:rStyle w:val="Hypertextovodkaz"/>
            <w:noProof/>
          </w:rPr>
          <w:t>Zemní práce</w:t>
        </w:r>
        <w:r w:rsidR="00C309C5">
          <w:rPr>
            <w:noProof/>
            <w:webHidden/>
          </w:rPr>
          <w:tab/>
        </w:r>
        <w:r w:rsidR="00C309C5">
          <w:rPr>
            <w:noProof/>
            <w:webHidden/>
          </w:rPr>
          <w:fldChar w:fldCharType="begin"/>
        </w:r>
        <w:r w:rsidR="00C309C5">
          <w:rPr>
            <w:noProof/>
            <w:webHidden/>
          </w:rPr>
          <w:instrText xml:space="preserve"> PAGEREF _Toc62201083 \h </w:instrText>
        </w:r>
        <w:r w:rsidR="00C309C5">
          <w:rPr>
            <w:noProof/>
            <w:webHidden/>
          </w:rPr>
        </w:r>
        <w:r w:rsidR="00C309C5">
          <w:rPr>
            <w:noProof/>
            <w:webHidden/>
          </w:rPr>
          <w:fldChar w:fldCharType="separate"/>
        </w:r>
        <w:r w:rsidR="00C309C5">
          <w:rPr>
            <w:noProof/>
            <w:webHidden/>
          </w:rPr>
          <w:t>13</w:t>
        </w:r>
        <w:r w:rsidR="00C309C5">
          <w:rPr>
            <w:noProof/>
            <w:webHidden/>
          </w:rPr>
          <w:fldChar w:fldCharType="end"/>
        </w:r>
      </w:hyperlink>
    </w:p>
    <w:p w14:paraId="713A5AB7" w14:textId="731E393D" w:rsidR="00C309C5" w:rsidRDefault="00B04B88">
      <w:pPr>
        <w:pStyle w:val="Obsah2"/>
        <w:rPr>
          <w:rFonts w:asciiTheme="minorHAnsi" w:eastAsiaTheme="minorEastAsia" w:hAnsiTheme="minorHAnsi" w:cstheme="minorBidi"/>
          <w:szCs w:val="22"/>
        </w:rPr>
      </w:pPr>
      <w:hyperlink w:anchor="_Toc62201084" w:history="1">
        <w:r w:rsidR="00C309C5" w:rsidRPr="006E6B7A">
          <w:rPr>
            <w:rStyle w:val="Hypertextovodkaz"/>
          </w:rPr>
          <w:t>9.1</w:t>
        </w:r>
        <w:r w:rsidR="00C309C5">
          <w:rPr>
            <w:rFonts w:asciiTheme="minorHAnsi" w:eastAsiaTheme="minorEastAsia" w:hAnsiTheme="minorHAnsi" w:cstheme="minorBidi"/>
            <w:szCs w:val="22"/>
          </w:rPr>
          <w:tab/>
        </w:r>
        <w:r w:rsidR="00C309C5" w:rsidRPr="006E6B7A">
          <w:rPr>
            <w:rStyle w:val="Hypertextovodkaz"/>
          </w:rPr>
          <w:t>Stávající skladby</w:t>
        </w:r>
        <w:r w:rsidR="00C309C5">
          <w:rPr>
            <w:webHidden/>
          </w:rPr>
          <w:tab/>
        </w:r>
        <w:r w:rsidR="00C309C5">
          <w:rPr>
            <w:webHidden/>
          </w:rPr>
          <w:fldChar w:fldCharType="begin"/>
        </w:r>
        <w:r w:rsidR="00C309C5">
          <w:rPr>
            <w:webHidden/>
          </w:rPr>
          <w:instrText xml:space="preserve"> PAGEREF _Toc62201084 \h </w:instrText>
        </w:r>
        <w:r w:rsidR="00C309C5">
          <w:rPr>
            <w:webHidden/>
          </w:rPr>
        </w:r>
        <w:r w:rsidR="00C309C5">
          <w:rPr>
            <w:webHidden/>
          </w:rPr>
          <w:fldChar w:fldCharType="separate"/>
        </w:r>
        <w:r w:rsidR="00C309C5">
          <w:rPr>
            <w:webHidden/>
          </w:rPr>
          <w:t>13</w:t>
        </w:r>
        <w:r w:rsidR="00C309C5">
          <w:rPr>
            <w:webHidden/>
          </w:rPr>
          <w:fldChar w:fldCharType="end"/>
        </w:r>
      </w:hyperlink>
    </w:p>
    <w:p w14:paraId="66B70CEC" w14:textId="295FF44C" w:rsidR="00C309C5" w:rsidRDefault="00B04B88">
      <w:pPr>
        <w:pStyle w:val="Obsah2"/>
        <w:rPr>
          <w:rFonts w:asciiTheme="minorHAnsi" w:eastAsiaTheme="minorEastAsia" w:hAnsiTheme="minorHAnsi" w:cstheme="minorBidi"/>
          <w:szCs w:val="22"/>
        </w:rPr>
      </w:pPr>
      <w:hyperlink w:anchor="_Toc62201085" w:history="1">
        <w:r w:rsidR="00C309C5" w:rsidRPr="006E6B7A">
          <w:rPr>
            <w:rStyle w:val="Hypertextovodkaz"/>
          </w:rPr>
          <w:t>9.2</w:t>
        </w:r>
        <w:r w:rsidR="00C309C5">
          <w:rPr>
            <w:rFonts w:asciiTheme="minorHAnsi" w:eastAsiaTheme="minorEastAsia" w:hAnsiTheme="minorHAnsi" w:cstheme="minorBidi"/>
            <w:szCs w:val="22"/>
          </w:rPr>
          <w:tab/>
        </w:r>
        <w:r w:rsidR="00C309C5" w:rsidRPr="006E6B7A">
          <w:rPr>
            <w:rStyle w:val="Hypertextovodkaz"/>
          </w:rPr>
          <w:t>Výkopy</w:t>
        </w:r>
        <w:r w:rsidR="00C309C5">
          <w:rPr>
            <w:webHidden/>
          </w:rPr>
          <w:tab/>
        </w:r>
        <w:r w:rsidR="00C309C5">
          <w:rPr>
            <w:webHidden/>
          </w:rPr>
          <w:fldChar w:fldCharType="begin"/>
        </w:r>
        <w:r w:rsidR="00C309C5">
          <w:rPr>
            <w:webHidden/>
          </w:rPr>
          <w:instrText xml:space="preserve"> PAGEREF _Toc62201085 \h </w:instrText>
        </w:r>
        <w:r w:rsidR="00C309C5">
          <w:rPr>
            <w:webHidden/>
          </w:rPr>
        </w:r>
        <w:r w:rsidR="00C309C5">
          <w:rPr>
            <w:webHidden/>
          </w:rPr>
          <w:fldChar w:fldCharType="separate"/>
        </w:r>
        <w:r w:rsidR="00C309C5">
          <w:rPr>
            <w:webHidden/>
          </w:rPr>
          <w:t>14</w:t>
        </w:r>
        <w:r w:rsidR="00C309C5">
          <w:rPr>
            <w:webHidden/>
          </w:rPr>
          <w:fldChar w:fldCharType="end"/>
        </w:r>
      </w:hyperlink>
    </w:p>
    <w:p w14:paraId="1777B00D" w14:textId="1C499AE3" w:rsidR="00C309C5" w:rsidRDefault="00B04B88">
      <w:pPr>
        <w:pStyle w:val="Obsah2"/>
        <w:rPr>
          <w:rFonts w:asciiTheme="minorHAnsi" w:eastAsiaTheme="minorEastAsia" w:hAnsiTheme="minorHAnsi" w:cstheme="minorBidi"/>
          <w:szCs w:val="22"/>
        </w:rPr>
      </w:pPr>
      <w:hyperlink w:anchor="_Toc62201086" w:history="1">
        <w:r w:rsidR="00C309C5" w:rsidRPr="006E6B7A">
          <w:rPr>
            <w:rStyle w:val="Hypertextovodkaz"/>
          </w:rPr>
          <w:t>9.3</w:t>
        </w:r>
        <w:r w:rsidR="00C309C5">
          <w:rPr>
            <w:rFonts w:asciiTheme="minorHAnsi" w:eastAsiaTheme="minorEastAsia" w:hAnsiTheme="minorHAnsi" w:cstheme="minorBidi"/>
            <w:szCs w:val="22"/>
          </w:rPr>
          <w:tab/>
        </w:r>
        <w:r w:rsidR="00C309C5" w:rsidRPr="006E6B7A">
          <w:rPr>
            <w:rStyle w:val="Hypertextovodkaz"/>
          </w:rPr>
          <w:t>Pažení rýhy</w:t>
        </w:r>
        <w:r w:rsidR="00C309C5">
          <w:rPr>
            <w:webHidden/>
          </w:rPr>
          <w:tab/>
        </w:r>
        <w:r w:rsidR="00C309C5">
          <w:rPr>
            <w:webHidden/>
          </w:rPr>
          <w:fldChar w:fldCharType="begin"/>
        </w:r>
        <w:r w:rsidR="00C309C5">
          <w:rPr>
            <w:webHidden/>
          </w:rPr>
          <w:instrText xml:space="preserve"> PAGEREF _Toc62201086 \h </w:instrText>
        </w:r>
        <w:r w:rsidR="00C309C5">
          <w:rPr>
            <w:webHidden/>
          </w:rPr>
        </w:r>
        <w:r w:rsidR="00C309C5">
          <w:rPr>
            <w:webHidden/>
          </w:rPr>
          <w:fldChar w:fldCharType="separate"/>
        </w:r>
        <w:r w:rsidR="00C309C5">
          <w:rPr>
            <w:webHidden/>
          </w:rPr>
          <w:t>14</w:t>
        </w:r>
        <w:r w:rsidR="00C309C5">
          <w:rPr>
            <w:webHidden/>
          </w:rPr>
          <w:fldChar w:fldCharType="end"/>
        </w:r>
      </w:hyperlink>
    </w:p>
    <w:p w14:paraId="65A98EEE" w14:textId="38FB07B0" w:rsidR="00C309C5" w:rsidRDefault="00B04B88">
      <w:pPr>
        <w:pStyle w:val="Obsah2"/>
        <w:rPr>
          <w:rFonts w:asciiTheme="minorHAnsi" w:eastAsiaTheme="minorEastAsia" w:hAnsiTheme="minorHAnsi" w:cstheme="minorBidi"/>
          <w:szCs w:val="22"/>
        </w:rPr>
      </w:pPr>
      <w:hyperlink w:anchor="_Toc62201087" w:history="1">
        <w:r w:rsidR="00C309C5" w:rsidRPr="006E6B7A">
          <w:rPr>
            <w:rStyle w:val="Hypertextovodkaz"/>
          </w:rPr>
          <w:t>9.4</w:t>
        </w:r>
        <w:r w:rsidR="00C309C5">
          <w:rPr>
            <w:rFonts w:asciiTheme="minorHAnsi" w:eastAsiaTheme="minorEastAsia" w:hAnsiTheme="minorHAnsi" w:cstheme="minorBidi"/>
            <w:szCs w:val="22"/>
          </w:rPr>
          <w:tab/>
        </w:r>
        <w:r w:rsidR="00C309C5" w:rsidRPr="006E6B7A">
          <w:rPr>
            <w:rStyle w:val="Hypertextovodkaz"/>
          </w:rPr>
          <w:t>Podsypy, obsypy a zásypy</w:t>
        </w:r>
        <w:r w:rsidR="00C309C5">
          <w:rPr>
            <w:webHidden/>
          </w:rPr>
          <w:tab/>
        </w:r>
        <w:r w:rsidR="00C309C5">
          <w:rPr>
            <w:webHidden/>
          </w:rPr>
          <w:fldChar w:fldCharType="begin"/>
        </w:r>
        <w:r w:rsidR="00C309C5">
          <w:rPr>
            <w:webHidden/>
          </w:rPr>
          <w:instrText xml:space="preserve"> PAGEREF _Toc62201087 \h </w:instrText>
        </w:r>
        <w:r w:rsidR="00C309C5">
          <w:rPr>
            <w:webHidden/>
          </w:rPr>
        </w:r>
        <w:r w:rsidR="00C309C5">
          <w:rPr>
            <w:webHidden/>
          </w:rPr>
          <w:fldChar w:fldCharType="separate"/>
        </w:r>
        <w:r w:rsidR="00C309C5">
          <w:rPr>
            <w:webHidden/>
          </w:rPr>
          <w:t>14</w:t>
        </w:r>
        <w:r w:rsidR="00C309C5">
          <w:rPr>
            <w:webHidden/>
          </w:rPr>
          <w:fldChar w:fldCharType="end"/>
        </w:r>
      </w:hyperlink>
    </w:p>
    <w:p w14:paraId="34DD20BF" w14:textId="47658C45" w:rsidR="00C309C5" w:rsidRDefault="00B04B88">
      <w:pPr>
        <w:pStyle w:val="Obsah3"/>
        <w:tabs>
          <w:tab w:val="left" w:pos="1440"/>
          <w:tab w:val="right" w:leader="dot" w:pos="9627"/>
        </w:tabs>
        <w:rPr>
          <w:rFonts w:asciiTheme="minorHAnsi" w:eastAsiaTheme="minorEastAsia" w:hAnsiTheme="minorHAnsi" w:cstheme="minorBidi"/>
          <w:noProof/>
          <w:szCs w:val="22"/>
        </w:rPr>
      </w:pPr>
      <w:hyperlink w:anchor="_Toc62201088" w:history="1">
        <w:r w:rsidR="00C309C5" w:rsidRPr="006E6B7A">
          <w:rPr>
            <w:rStyle w:val="Hypertextovodkaz"/>
            <w:noProof/>
          </w:rPr>
          <w:t>9.4.1</w:t>
        </w:r>
        <w:r w:rsidR="00C309C5">
          <w:rPr>
            <w:rFonts w:asciiTheme="minorHAnsi" w:eastAsiaTheme="minorEastAsia" w:hAnsiTheme="minorHAnsi" w:cstheme="minorBidi"/>
            <w:noProof/>
            <w:szCs w:val="22"/>
          </w:rPr>
          <w:tab/>
        </w:r>
        <w:r w:rsidR="00C309C5" w:rsidRPr="006E6B7A">
          <w:rPr>
            <w:rStyle w:val="Hypertextovodkaz"/>
            <w:noProof/>
          </w:rPr>
          <w:t>Zásypy v nezpevněných plochách</w:t>
        </w:r>
        <w:r w:rsidR="00C309C5">
          <w:rPr>
            <w:noProof/>
            <w:webHidden/>
          </w:rPr>
          <w:tab/>
        </w:r>
        <w:r w:rsidR="00C309C5">
          <w:rPr>
            <w:noProof/>
            <w:webHidden/>
          </w:rPr>
          <w:fldChar w:fldCharType="begin"/>
        </w:r>
        <w:r w:rsidR="00C309C5">
          <w:rPr>
            <w:noProof/>
            <w:webHidden/>
          </w:rPr>
          <w:instrText xml:space="preserve"> PAGEREF _Toc62201088 \h </w:instrText>
        </w:r>
        <w:r w:rsidR="00C309C5">
          <w:rPr>
            <w:noProof/>
            <w:webHidden/>
          </w:rPr>
        </w:r>
        <w:r w:rsidR="00C309C5">
          <w:rPr>
            <w:noProof/>
            <w:webHidden/>
          </w:rPr>
          <w:fldChar w:fldCharType="separate"/>
        </w:r>
        <w:r w:rsidR="00C309C5">
          <w:rPr>
            <w:noProof/>
            <w:webHidden/>
          </w:rPr>
          <w:t>15</w:t>
        </w:r>
        <w:r w:rsidR="00C309C5">
          <w:rPr>
            <w:noProof/>
            <w:webHidden/>
          </w:rPr>
          <w:fldChar w:fldCharType="end"/>
        </w:r>
      </w:hyperlink>
    </w:p>
    <w:p w14:paraId="223E0286" w14:textId="148EF746" w:rsidR="00C309C5" w:rsidRDefault="00B04B88">
      <w:pPr>
        <w:pStyle w:val="Obsah3"/>
        <w:tabs>
          <w:tab w:val="left" w:pos="1440"/>
          <w:tab w:val="right" w:leader="dot" w:pos="9627"/>
        </w:tabs>
        <w:rPr>
          <w:rFonts w:asciiTheme="minorHAnsi" w:eastAsiaTheme="minorEastAsia" w:hAnsiTheme="minorHAnsi" w:cstheme="minorBidi"/>
          <w:noProof/>
          <w:szCs w:val="22"/>
        </w:rPr>
      </w:pPr>
      <w:hyperlink w:anchor="_Toc62201089" w:history="1">
        <w:r w:rsidR="00C309C5" w:rsidRPr="006E6B7A">
          <w:rPr>
            <w:rStyle w:val="Hypertextovodkaz"/>
            <w:noProof/>
          </w:rPr>
          <w:t>9.4.2</w:t>
        </w:r>
        <w:r w:rsidR="00C309C5">
          <w:rPr>
            <w:rFonts w:asciiTheme="minorHAnsi" w:eastAsiaTheme="minorEastAsia" w:hAnsiTheme="minorHAnsi" w:cstheme="minorBidi"/>
            <w:noProof/>
            <w:szCs w:val="22"/>
          </w:rPr>
          <w:tab/>
        </w:r>
        <w:r w:rsidR="00C309C5" w:rsidRPr="006E6B7A">
          <w:rPr>
            <w:rStyle w:val="Hypertextovodkaz"/>
            <w:noProof/>
          </w:rPr>
          <w:t>Zásypy v komunikacích</w:t>
        </w:r>
        <w:r w:rsidR="00C309C5">
          <w:rPr>
            <w:noProof/>
            <w:webHidden/>
          </w:rPr>
          <w:tab/>
        </w:r>
        <w:r w:rsidR="00C309C5">
          <w:rPr>
            <w:noProof/>
            <w:webHidden/>
          </w:rPr>
          <w:fldChar w:fldCharType="begin"/>
        </w:r>
        <w:r w:rsidR="00C309C5">
          <w:rPr>
            <w:noProof/>
            <w:webHidden/>
          </w:rPr>
          <w:instrText xml:space="preserve"> PAGEREF _Toc62201089 \h </w:instrText>
        </w:r>
        <w:r w:rsidR="00C309C5">
          <w:rPr>
            <w:noProof/>
            <w:webHidden/>
          </w:rPr>
        </w:r>
        <w:r w:rsidR="00C309C5">
          <w:rPr>
            <w:noProof/>
            <w:webHidden/>
          </w:rPr>
          <w:fldChar w:fldCharType="separate"/>
        </w:r>
        <w:r w:rsidR="00C309C5">
          <w:rPr>
            <w:noProof/>
            <w:webHidden/>
          </w:rPr>
          <w:t>15</w:t>
        </w:r>
        <w:r w:rsidR="00C309C5">
          <w:rPr>
            <w:noProof/>
            <w:webHidden/>
          </w:rPr>
          <w:fldChar w:fldCharType="end"/>
        </w:r>
      </w:hyperlink>
    </w:p>
    <w:p w14:paraId="3FF39EEE" w14:textId="66A367FB" w:rsidR="00C309C5" w:rsidRDefault="00B04B88">
      <w:pPr>
        <w:pStyle w:val="Obsah2"/>
        <w:rPr>
          <w:rFonts w:asciiTheme="minorHAnsi" w:eastAsiaTheme="minorEastAsia" w:hAnsiTheme="minorHAnsi" w:cstheme="minorBidi"/>
          <w:szCs w:val="22"/>
        </w:rPr>
      </w:pPr>
      <w:hyperlink w:anchor="_Toc62201090" w:history="1">
        <w:r w:rsidR="00C309C5" w:rsidRPr="006E6B7A">
          <w:rPr>
            <w:rStyle w:val="Hypertextovodkaz"/>
          </w:rPr>
          <w:t>9.5</w:t>
        </w:r>
        <w:r w:rsidR="00C309C5">
          <w:rPr>
            <w:rFonts w:asciiTheme="minorHAnsi" w:eastAsiaTheme="minorEastAsia" w:hAnsiTheme="minorHAnsi" w:cstheme="minorBidi"/>
            <w:szCs w:val="22"/>
          </w:rPr>
          <w:tab/>
        </w:r>
        <w:r w:rsidR="00C309C5" w:rsidRPr="006E6B7A">
          <w:rPr>
            <w:rStyle w:val="Hypertextovodkaz"/>
          </w:rPr>
          <w:t>Hutnění</w:t>
        </w:r>
        <w:r w:rsidR="00C309C5">
          <w:rPr>
            <w:webHidden/>
          </w:rPr>
          <w:tab/>
        </w:r>
        <w:r w:rsidR="00C309C5">
          <w:rPr>
            <w:webHidden/>
          </w:rPr>
          <w:fldChar w:fldCharType="begin"/>
        </w:r>
        <w:r w:rsidR="00C309C5">
          <w:rPr>
            <w:webHidden/>
          </w:rPr>
          <w:instrText xml:space="preserve"> PAGEREF _Toc62201090 \h </w:instrText>
        </w:r>
        <w:r w:rsidR="00C309C5">
          <w:rPr>
            <w:webHidden/>
          </w:rPr>
        </w:r>
        <w:r w:rsidR="00C309C5">
          <w:rPr>
            <w:webHidden/>
          </w:rPr>
          <w:fldChar w:fldCharType="separate"/>
        </w:r>
        <w:r w:rsidR="00C309C5">
          <w:rPr>
            <w:webHidden/>
          </w:rPr>
          <w:t>15</w:t>
        </w:r>
        <w:r w:rsidR="00C309C5">
          <w:rPr>
            <w:webHidden/>
          </w:rPr>
          <w:fldChar w:fldCharType="end"/>
        </w:r>
      </w:hyperlink>
    </w:p>
    <w:p w14:paraId="0024D88C" w14:textId="17C6CA83" w:rsidR="00C309C5" w:rsidRDefault="00B04B88">
      <w:pPr>
        <w:pStyle w:val="Obsah2"/>
        <w:rPr>
          <w:rFonts w:asciiTheme="minorHAnsi" w:eastAsiaTheme="minorEastAsia" w:hAnsiTheme="minorHAnsi" w:cstheme="minorBidi"/>
          <w:szCs w:val="22"/>
        </w:rPr>
      </w:pPr>
      <w:hyperlink w:anchor="_Toc62201091" w:history="1">
        <w:r w:rsidR="00C309C5" w:rsidRPr="006E6B7A">
          <w:rPr>
            <w:rStyle w:val="Hypertextovodkaz"/>
          </w:rPr>
          <w:t>9.6</w:t>
        </w:r>
        <w:r w:rsidR="00C309C5">
          <w:rPr>
            <w:rFonts w:asciiTheme="minorHAnsi" w:eastAsiaTheme="minorEastAsia" w:hAnsiTheme="minorHAnsi" w:cstheme="minorBidi"/>
            <w:szCs w:val="22"/>
          </w:rPr>
          <w:tab/>
        </w:r>
        <w:r w:rsidR="00C309C5" w:rsidRPr="006E6B7A">
          <w:rPr>
            <w:rStyle w:val="Hypertextovodkaz"/>
          </w:rPr>
          <w:t>Odvoz nevhodného materiálu</w:t>
        </w:r>
        <w:r w:rsidR="00C309C5">
          <w:rPr>
            <w:webHidden/>
          </w:rPr>
          <w:tab/>
        </w:r>
        <w:r w:rsidR="00C309C5">
          <w:rPr>
            <w:webHidden/>
          </w:rPr>
          <w:fldChar w:fldCharType="begin"/>
        </w:r>
        <w:r w:rsidR="00C309C5">
          <w:rPr>
            <w:webHidden/>
          </w:rPr>
          <w:instrText xml:space="preserve"> PAGEREF _Toc62201091 \h </w:instrText>
        </w:r>
        <w:r w:rsidR="00C309C5">
          <w:rPr>
            <w:webHidden/>
          </w:rPr>
        </w:r>
        <w:r w:rsidR="00C309C5">
          <w:rPr>
            <w:webHidden/>
          </w:rPr>
          <w:fldChar w:fldCharType="separate"/>
        </w:r>
        <w:r w:rsidR="00C309C5">
          <w:rPr>
            <w:webHidden/>
          </w:rPr>
          <w:t>16</w:t>
        </w:r>
        <w:r w:rsidR="00C309C5">
          <w:rPr>
            <w:webHidden/>
          </w:rPr>
          <w:fldChar w:fldCharType="end"/>
        </w:r>
      </w:hyperlink>
    </w:p>
    <w:p w14:paraId="20941C4C" w14:textId="03E9B2C3" w:rsidR="00C309C5" w:rsidRDefault="00B04B88">
      <w:pPr>
        <w:pStyle w:val="Obsah1"/>
        <w:tabs>
          <w:tab w:val="right" w:leader="dot" w:pos="9627"/>
        </w:tabs>
        <w:rPr>
          <w:rFonts w:asciiTheme="minorHAnsi" w:eastAsiaTheme="minorEastAsia" w:hAnsiTheme="minorHAnsi" w:cstheme="minorBidi"/>
          <w:b w:val="0"/>
          <w:bCs w:val="0"/>
          <w:noProof/>
          <w:color w:val="auto"/>
          <w:szCs w:val="22"/>
        </w:rPr>
      </w:pPr>
      <w:hyperlink w:anchor="_Toc62201092" w:history="1">
        <w:r w:rsidR="00C309C5" w:rsidRPr="006E6B7A">
          <w:rPr>
            <w:rStyle w:val="Hypertextovodkaz"/>
            <w:noProof/>
          </w:rPr>
          <w:t>10</w:t>
        </w:r>
        <w:r w:rsidR="00C309C5">
          <w:rPr>
            <w:rFonts w:asciiTheme="minorHAnsi" w:eastAsiaTheme="minorEastAsia" w:hAnsiTheme="minorHAnsi" w:cstheme="minorBidi"/>
            <w:b w:val="0"/>
            <w:bCs w:val="0"/>
            <w:noProof/>
            <w:color w:val="auto"/>
            <w:szCs w:val="22"/>
          </w:rPr>
          <w:tab/>
        </w:r>
        <w:r w:rsidR="00C309C5" w:rsidRPr="006E6B7A">
          <w:rPr>
            <w:rStyle w:val="Hypertextovodkaz"/>
            <w:noProof/>
          </w:rPr>
          <w:t>Termín zahájení stavby</w:t>
        </w:r>
        <w:r w:rsidR="00C309C5">
          <w:rPr>
            <w:noProof/>
            <w:webHidden/>
          </w:rPr>
          <w:tab/>
        </w:r>
        <w:r w:rsidR="00C309C5">
          <w:rPr>
            <w:noProof/>
            <w:webHidden/>
          </w:rPr>
          <w:fldChar w:fldCharType="begin"/>
        </w:r>
        <w:r w:rsidR="00C309C5">
          <w:rPr>
            <w:noProof/>
            <w:webHidden/>
          </w:rPr>
          <w:instrText xml:space="preserve"> PAGEREF _Toc62201092 \h </w:instrText>
        </w:r>
        <w:r w:rsidR="00C309C5">
          <w:rPr>
            <w:noProof/>
            <w:webHidden/>
          </w:rPr>
        </w:r>
        <w:r w:rsidR="00C309C5">
          <w:rPr>
            <w:noProof/>
            <w:webHidden/>
          </w:rPr>
          <w:fldChar w:fldCharType="separate"/>
        </w:r>
        <w:r w:rsidR="00C309C5">
          <w:rPr>
            <w:noProof/>
            <w:webHidden/>
          </w:rPr>
          <w:t>16</w:t>
        </w:r>
        <w:r w:rsidR="00C309C5">
          <w:rPr>
            <w:noProof/>
            <w:webHidden/>
          </w:rPr>
          <w:fldChar w:fldCharType="end"/>
        </w:r>
      </w:hyperlink>
    </w:p>
    <w:p w14:paraId="6D0E543E" w14:textId="1A6213BC" w:rsidR="00C309C5" w:rsidRDefault="00B04B88">
      <w:pPr>
        <w:pStyle w:val="Obsah1"/>
        <w:tabs>
          <w:tab w:val="right" w:leader="dot" w:pos="9627"/>
        </w:tabs>
        <w:rPr>
          <w:rFonts w:asciiTheme="minorHAnsi" w:eastAsiaTheme="minorEastAsia" w:hAnsiTheme="minorHAnsi" w:cstheme="minorBidi"/>
          <w:b w:val="0"/>
          <w:bCs w:val="0"/>
          <w:noProof/>
          <w:color w:val="auto"/>
          <w:szCs w:val="22"/>
        </w:rPr>
      </w:pPr>
      <w:hyperlink w:anchor="_Toc62201093" w:history="1">
        <w:r w:rsidR="00C309C5" w:rsidRPr="006E6B7A">
          <w:rPr>
            <w:rStyle w:val="Hypertextovodkaz"/>
            <w:noProof/>
          </w:rPr>
          <w:t>11</w:t>
        </w:r>
        <w:r w:rsidR="00C309C5">
          <w:rPr>
            <w:rFonts w:asciiTheme="minorHAnsi" w:eastAsiaTheme="minorEastAsia" w:hAnsiTheme="minorHAnsi" w:cstheme="minorBidi"/>
            <w:b w:val="0"/>
            <w:bCs w:val="0"/>
            <w:noProof/>
            <w:color w:val="auto"/>
            <w:szCs w:val="22"/>
          </w:rPr>
          <w:tab/>
        </w:r>
        <w:r w:rsidR="00C309C5" w:rsidRPr="006E6B7A">
          <w:rPr>
            <w:rStyle w:val="Hypertextovodkaz"/>
            <w:noProof/>
          </w:rPr>
          <w:t>Zkušební provoz</w:t>
        </w:r>
        <w:r w:rsidR="00C309C5">
          <w:rPr>
            <w:noProof/>
            <w:webHidden/>
          </w:rPr>
          <w:tab/>
        </w:r>
        <w:r w:rsidR="00C309C5">
          <w:rPr>
            <w:noProof/>
            <w:webHidden/>
          </w:rPr>
          <w:fldChar w:fldCharType="begin"/>
        </w:r>
        <w:r w:rsidR="00C309C5">
          <w:rPr>
            <w:noProof/>
            <w:webHidden/>
          </w:rPr>
          <w:instrText xml:space="preserve"> PAGEREF _Toc62201093 \h </w:instrText>
        </w:r>
        <w:r w:rsidR="00C309C5">
          <w:rPr>
            <w:noProof/>
            <w:webHidden/>
          </w:rPr>
        </w:r>
        <w:r w:rsidR="00C309C5">
          <w:rPr>
            <w:noProof/>
            <w:webHidden/>
          </w:rPr>
          <w:fldChar w:fldCharType="separate"/>
        </w:r>
        <w:r w:rsidR="00C309C5">
          <w:rPr>
            <w:noProof/>
            <w:webHidden/>
          </w:rPr>
          <w:t>16</w:t>
        </w:r>
        <w:r w:rsidR="00C309C5">
          <w:rPr>
            <w:noProof/>
            <w:webHidden/>
          </w:rPr>
          <w:fldChar w:fldCharType="end"/>
        </w:r>
      </w:hyperlink>
    </w:p>
    <w:p w14:paraId="59C2C56F" w14:textId="1FAE99D6" w:rsidR="00C309C5" w:rsidRDefault="00B04B88">
      <w:pPr>
        <w:pStyle w:val="Obsah1"/>
        <w:tabs>
          <w:tab w:val="right" w:leader="dot" w:pos="9627"/>
        </w:tabs>
        <w:rPr>
          <w:rFonts w:asciiTheme="minorHAnsi" w:eastAsiaTheme="minorEastAsia" w:hAnsiTheme="minorHAnsi" w:cstheme="minorBidi"/>
          <w:b w:val="0"/>
          <w:bCs w:val="0"/>
          <w:noProof/>
          <w:color w:val="auto"/>
          <w:szCs w:val="22"/>
        </w:rPr>
      </w:pPr>
      <w:hyperlink w:anchor="_Toc62201094" w:history="1">
        <w:r w:rsidR="00C309C5" w:rsidRPr="006E6B7A">
          <w:rPr>
            <w:rStyle w:val="Hypertextovodkaz"/>
            <w:noProof/>
          </w:rPr>
          <w:t>12</w:t>
        </w:r>
        <w:r w:rsidR="00C309C5">
          <w:rPr>
            <w:rFonts w:asciiTheme="minorHAnsi" w:eastAsiaTheme="minorEastAsia" w:hAnsiTheme="minorHAnsi" w:cstheme="minorBidi"/>
            <w:b w:val="0"/>
            <w:bCs w:val="0"/>
            <w:noProof/>
            <w:color w:val="auto"/>
            <w:szCs w:val="22"/>
          </w:rPr>
          <w:tab/>
        </w:r>
        <w:r w:rsidR="00C309C5" w:rsidRPr="006E6B7A">
          <w:rPr>
            <w:rStyle w:val="Hypertextovodkaz"/>
            <w:noProof/>
          </w:rPr>
          <w:t>Celkové náklady stavby</w:t>
        </w:r>
        <w:r w:rsidR="00C309C5">
          <w:rPr>
            <w:noProof/>
            <w:webHidden/>
          </w:rPr>
          <w:tab/>
        </w:r>
        <w:r w:rsidR="00C309C5">
          <w:rPr>
            <w:noProof/>
            <w:webHidden/>
          </w:rPr>
          <w:fldChar w:fldCharType="begin"/>
        </w:r>
        <w:r w:rsidR="00C309C5">
          <w:rPr>
            <w:noProof/>
            <w:webHidden/>
          </w:rPr>
          <w:instrText xml:space="preserve"> PAGEREF _Toc62201094 \h </w:instrText>
        </w:r>
        <w:r w:rsidR="00C309C5">
          <w:rPr>
            <w:noProof/>
            <w:webHidden/>
          </w:rPr>
        </w:r>
        <w:r w:rsidR="00C309C5">
          <w:rPr>
            <w:noProof/>
            <w:webHidden/>
          </w:rPr>
          <w:fldChar w:fldCharType="separate"/>
        </w:r>
        <w:r w:rsidR="00C309C5">
          <w:rPr>
            <w:noProof/>
            <w:webHidden/>
          </w:rPr>
          <w:t>16</w:t>
        </w:r>
        <w:r w:rsidR="00C309C5">
          <w:rPr>
            <w:noProof/>
            <w:webHidden/>
          </w:rPr>
          <w:fldChar w:fldCharType="end"/>
        </w:r>
      </w:hyperlink>
    </w:p>
    <w:p w14:paraId="238FD3C2" w14:textId="201D175B" w:rsidR="00E462C1" w:rsidRDefault="00CC549F" w:rsidP="00990FA7">
      <w:r>
        <w:rPr>
          <w:b/>
          <w:bCs/>
        </w:rPr>
        <w:fldChar w:fldCharType="end"/>
      </w:r>
    </w:p>
    <w:p w14:paraId="5FBB8826" w14:textId="77777777" w:rsidR="00E462C1" w:rsidRPr="00791519" w:rsidRDefault="002A5F06" w:rsidP="000F14C5">
      <w:pPr>
        <w:pStyle w:val="Nadpis1"/>
      </w:pPr>
      <w:bookmarkStart w:id="15" w:name="_Toc88104622"/>
      <w:bookmarkStart w:id="16" w:name="_Toc88105067"/>
      <w:bookmarkStart w:id="17" w:name="_Toc88105322"/>
      <w:bookmarkStart w:id="18" w:name="_Toc88108799"/>
      <w:bookmarkStart w:id="19" w:name="_Toc88108864"/>
      <w:bookmarkStart w:id="20" w:name="_Toc88109216"/>
      <w:bookmarkStart w:id="21" w:name="_Toc88109295"/>
      <w:bookmarkStart w:id="22" w:name="_Toc88119778"/>
      <w:bookmarkStart w:id="23" w:name="_Toc88120569"/>
      <w:bookmarkStart w:id="24" w:name="_Toc88120646"/>
      <w:bookmarkStart w:id="25" w:name="_Toc88121219"/>
      <w:bookmarkStart w:id="26" w:name="_Toc88121465"/>
      <w:bookmarkStart w:id="27" w:name="_Toc88121490"/>
      <w:bookmarkStart w:id="28" w:name="_Toc88121551"/>
      <w:bookmarkStart w:id="29" w:name="_Toc88287774"/>
      <w:bookmarkStart w:id="30" w:name="_Toc68497117"/>
      <w:bookmarkStart w:id="31" w:name="_Toc115846553"/>
      <w:r>
        <w:br w:type="page"/>
      </w:r>
      <w:bookmarkStart w:id="32" w:name="_Toc62201049"/>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r w:rsidR="0023485F" w:rsidRPr="00791519">
        <w:lastRenderedPageBreak/>
        <w:t>POPIS STÁVAJÍCÍHO STAVU</w:t>
      </w:r>
      <w:bookmarkEnd w:id="32"/>
    </w:p>
    <w:p w14:paraId="72949CF2" w14:textId="0961E4C6" w:rsidR="00B45F13" w:rsidRPr="00791519" w:rsidRDefault="00B45F13" w:rsidP="00B45F13">
      <w:pPr>
        <w:tabs>
          <w:tab w:val="left" w:pos="0"/>
        </w:tabs>
        <w:spacing w:before="120"/>
        <w:jc w:val="both"/>
        <w:rPr>
          <w:szCs w:val="22"/>
        </w:rPr>
      </w:pPr>
      <w:r w:rsidRPr="00791519">
        <w:rPr>
          <w:szCs w:val="22"/>
        </w:rPr>
        <w:t>Stavba je situována ve městě Brně v MČ Brno – Židenice, na ulici Gajdošova, v obslužné komunikaci, částečně v jízdním pruhu VMO Gajdošova. Stavba se nachází v zastavěném území. V obslužné komunikaci se nachází jednostranná zástavba rodinných domů. Mezi ul. Vančurova a Jílkova je obousměrný provoz, ostatní část ulice jsou slepé. K zástavbě rodinných domů přiléhají asfaltové chodníky, na které navazuje vozovka, z druhé stany je pás zeleně. Nadmořská výška řešeného území se pohybuje okolo 209,00 – 211,00 m. n. m.</w:t>
      </w:r>
    </w:p>
    <w:p w14:paraId="029450EA" w14:textId="1F943E22" w:rsidR="00B45F13" w:rsidRPr="00791519" w:rsidRDefault="00B45F13" w:rsidP="00B45F13">
      <w:pPr>
        <w:tabs>
          <w:tab w:val="left" w:pos="0"/>
        </w:tabs>
        <w:spacing w:before="120"/>
        <w:jc w:val="both"/>
        <w:rPr>
          <w:szCs w:val="22"/>
        </w:rPr>
      </w:pPr>
      <w:r w:rsidRPr="00791519">
        <w:rPr>
          <w:szCs w:val="22"/>
        </w:rPr>
        <w:t>V obslužné komunikaci v ulici Gajdošova se nachází stávající jednotná kanalizace DN 400 z roku 1927 a je ve špatném stavebním stavu. Je uložena přibližně v ose komunikace. Šachta v křižovatce s ulicí Vančurovou umožňuj odlehčení do stoky vedoucí touto ulicí.</w:t>
      </w:r>
    </w:p>
    <w:p w14:paraId="2B20CE41" w14:textId="286FB419" w:rsidR="00B45F13" w:rsidRPr="00791519" w:rsidRDefault="00B45F13" w:rsidP="00B45F13">
      <w:pPr>
        <w:tabs>
          <w:tab w:val="left" w:pos="0"/>
        </w:tabs>
        <w:spacing w:before="120"/>
        <w:jc w:val="both"/>
        <w:rPr>
          <w:szCs w:val="22"/>
        </w:rPr>
      </w:pPr>
      <w:r w:rsidRPr="00791519">
        <w:rPr>
          <w:szCs w:val="22"/>
        </w:rPr>
        <w:t>Trasa rekonstruované kanalizace je vedena po veřejných pozemcích ve zpevněných plochách. Stavba respektuje zástavbu města a v co nejmenší míře zasahuje do polohy stávajících inženýrských sítí a VMO.</w:t>
      </w:r>
    </w:p>
    <w:p w14:paraId="0FBFD0DA" w14:textId="77777777" w:rsidR="00FB527E" w:rsidRPr="00791519" w:rsidRDefault="00FB527E" w:rsidP="00E40F21">
      <w:pPr>
        <w:tabs>
          <w:tab w:val="left" w:pos="0"/>
        </w:tabs>
        <w:spacing w:before="120"/>
        <w:jc w:val="both"/>
        <w:rPr>
          <w:szCs w:val="22"/>
        </w:rPr>
      </w:pPr>
    </w:p>
    <w:p w14:paraId="4CBBE1EF" w14:textId="77777777" w:rsidR="00675A1F" w:rsidRPr="00791519" w:rsidRDefault="00675A1F" w:rsidP="00675A1F">
      <w:pPr>
        <w:pStyle w:val="Nadpis1"/>
      </w:pPr>
      <w:bookmarkStart w:id="33" w:name="_Toc62201050"/>
      <w:r w:rsidRPr="00791519">
        <w:t>ÚDAJE O STAVBĚ</w:t>
      </w:r>
      <w:bookmarkEnd w:id="33"/>
    </w:p>
    <w:p w14:paraId="5ED76424" w14:textId="77777777" w:rsidR="0030632D" w:rsidRPr="00791519" w:rsidRDefault="0030632D" w:rsidP="003C5AF6">
      <w:pPr>
        <w:pStyle w:val="Odstavecseseznamem"/>
        <w:ind w:left="0"/>
        <w:rPr>
          <w:b/>
        </w:rPr>
      </w:pPr>
      <w:r w:rsidRPr="00791519">
        <w:rPr>
          <w:b/>
        </w:rPr>
        <w:t>Souhrnné údaje</w:t>
      </w:r>
    </w:p>
    <w:p w14:paraId="08299C83" w14:textId="16B6B2F0" w:rsidR="00675A1F" w:rsidRPr="00791519" w:rsidRDefault="004B29B8" w:rsidP="004B29B8">
      <w:pPr>
        <w:pStyle w:val="AqpText"/>
        <w:tabs>
          <w:tab w:val="left" w:pos="6663"/>
        </w:tabs>
      </w:pPr>
      <w:r w:rsidRPr="00791519">
        <w:t xml:space="preserve">Celková délka kruhového potrubí </w:t>
      </w:r>
      <w:r w:rsidR="0022727E" w:rsidRPr="00791519">
        <w:t>kamenina</w:t>
      </w:r>
      <w:r w:rsidRPr="00791519">
        <w:t xml:space="preserve"> DN </w:t>
      </w:r>
      <w:r w:rsidR="0022727E" w:rsidRPr="00791519">
        <w:t>4</w:t>
      </w:r>
      <w:r w:rsidRPr="00791519">
        <w:t>00</w:t>
      </w:r>
      <w:r w:rsidR="001916A2" w:rsidRPr="00791519">
        <w:tab/>
      </w:r>
      <w:r w:rsidR="0022727E" w:rsidRPr="00791519">
        <w:t>198</w:t>
      </w:r>
      <w:r w:rsidR="0030632D" w:rsidRPr="00791519">
        <w:t>,</w:t>
      </w:r>
      <w:r w:rsidR="0022727E" w:rsidRPr="00791519">
        <w:t>90</w:t>
      </w:r>
      <w:r w:rsidR="0030632D" w:rsidRPr="00791519">
        <w:t xml:space="preserve"> m</w:t>
      </w:r>
    </w:p>
    <w:p w14:paraId="3B9DCC25" w14:textId="57E3CFDB" w:rsidR="007C4DF1" w:rsidRPr="00791519" w:rsidRDefault="007C4DF1" w:rsidP="004B29B8">
      <w:pPr>
        <w:pStyle w:val="AqpText"/>
        <w:tabs>
          <w:tab w:val="left" w:pos="6663"/>
        </w:tabs>
      </w:pPr>
      <w:r w:rsidRPr="00791519">
        <w:t xml:space="preserve">Celková délka </w:t>
      </w:r>
      <w:r w:rsidR="0022727E" w:rsidRPr="00791519">
        <w:t>kruhového potrubí kamenina</w:t>
      </w:r>
      <w:r w:rsidRPr="00791519">
        <w:t xml:space="preserve"> DN </w:t>
      </w:r>
      <w:r w:rsidR="0022727E" w:rsidRPr="00791519">
        <w:t>30</w:t>
      </w:r>
      <w:r w:rsidRPr="00791519">
        <w:t>0</w:t>
      </w:r>
      <w:r w:rsidRPr="00791519">
        <w:tab/>
      </w:r>
      <w:r w:rsidR="0022727E" w:rsidRPr="00791519">
        <w:t>13</w:t>
      </w:r>
      <w:r w:rsidR="004B29B8" w:rsidRPr="00791519">
        <w:t>,0</w:t>
      </w:r>
      <w:r w:rsidRPr="00791519">
        <w:t>0 m</w:t>
      </w:r>
    </w:p>
    <w:p w14:paraId="2FAD7CC9" w14:textId="6780414C" w:rsidR="00675A1F" w:rsidRPr="00791519" w:rsidRDefault="003C5AF6" w:rsidP="004B29B8">
      <w:pPr>
        <w:pStyle w:val="AqpText"/>
        <w:tabs>
          <w:tab w:val="left" w:pos="6663"/>
        </w:tabs>
      </w:pPr>
      <w:r w:rsidRPr="00791519">
        <w:t>P</w:t>
      </w:r>
      <w:r w:rsidR="00675A1F" w:rsidRPr="00791519">
        <w:t>očet nových šachet</w:t>
      </w:r>
      <w:r w:rsidR="007C4DF1" w:rsidRPr="00791519">
        <w:t xml:space="preserve"> s prefabrikovaným dnem</w:t>
      </w:r>
      <w:r w:rsidR="001916A2" w:rsidRPr="00791519">
        <w:tab/>
      </w:r>
      <w:r w:rsidR="0022727E" w:rsidRPr="00791519">
        <w:t>6</w:t>
      </w:r>
      <w:r w:rsidR="0030632D" w:rsidRPr="00791519">
        <w:t xml:space="preserve"> ks</w:t>
      </w:r>
    </w:p>
    <w:p w14:paraId="2D990097" w14:textId="692E0D21" w:rsidR="007C4DF1" w:rsidRPr="00791519" w:rsidRDefault="007C4DF1" w:rsidP="004B29B8">
      <w:pPr>
        <w:pStyle w:val="AqpText"/>
        <w:tabs>
          <w:tab w:val="left" w:pos="6663"/>
        </w:tabs>
      </w:pPr>
      <w:r w:rsidRPr="00791519">
        <w:t>Počet nových šachet s monolitickým dnem</w:t>
      </w:r>
      <w:r w:rsidRPr="00791519">
        <w:tab/>
      </w:r>
      <w:r w:rsidR="00BE5315" w:rsidRPr="00791519">
        <w:t>2</w:t>
      </w:r>
      <w:r w:rsidRPr="00791519">
        <w:t xml:space="preserve"> ks</w:t>
      </w:r>
    </w:p>
    <w:p w14:paraId="29F5CA0C" w14:textId="769807D7" w:rsidR="00397148" w:rsidRPr="00791519" w:rsidRDefault="00397148" w:rsidP="00397148">
      <w:pPr>
        <w:pStyle w:val="AqpText"/>
        <w:tabs>
          <w:tab w:val="left" w:pos="6663"/>
        </w:tabs>
      </w:pPr>
      <w:r w:rsidRPr="00791519">
        <w:t>Odbočka kamenina 90° DN 400/200 – přípojka</w:t>
      </w:r>
      <w:r w:rsidRPr="00791519">
        <w:tab/>
        <w:t>2 ks</w:t>
      </w:r>
    </w:p>
    <w:p w14:paraId="5554FA56" w14:textId="010155E7" w:rsidR="00397148" w:rsidRPr="00791519" w:rsidRDefault="00397148" w:rsidP="00397148">
      <w:pPr>
        <w:pStyle w:val="AqpText"/>
        <w:tabs>
          <w:tab w:val="left" w:pos="6663"/>
        </w:tabs>
      </w:pPr>
      <w:r w:rsidRPr="00791519">
        <w:t>Odbočka kamenina 90° DN 400/150 – přípojka</w:t>
      </w:r>
      <w:r w:rsidRPr="00791519">
        <w:tab/>
        <w:t>15 ks</w:t>
      </w:r>
    </w:p>
    <w:p w14:paraId="6B17CBF8" w14:textId="63194B28" w:rsidR="00397148" w:rsidRPr="00791519" w:rsidRDefault="00397148" w:rsidP="00397148">
      <w:pPr>
        <w:pStyle w:val="AqpText"/>
        <w:tabs>
          <w:tab w:val="left" w:pos="6663"/>
        </w:tabs>
      </w:pPr>
      <w:r w:rsidRPr="00791519">
        <w:t>Odbočka kamenina 90° DN 400/150 – uliční vpust</w:t>
      </w:r>
      <w:r w:rsidRPr="00791519">
        <w:tab/>
        <w:t>9 ks</w:t>
      </w:r>
    </w:p>
    <w:p w14:paraId="3A955C14" w14:textId="2FB9AC9B" w:rsidR="003C5AF6" w:rsidRPr="00791519" w:rsidRDefault="00397148" w:rsidP="00397148">
      <w:pPr>
        <w:pStyle w:val="AqpText"/>
        <w:tabs>
          <w:tab w:val="left" w:pos="6663"/>
        </w:tabs>
      </w:pPr>
      <w:r w:rsidRPr="00791519">
        <w:t>Napojovací element F pro KT potrubí DN 150 - přípojka</w:t>
      </w:r>
      <w:r w:rsidRPr="00791519">
        <w:tab/>
        <w:t>1 ks</w:t>
      </w:r>
    </w:p>
    <w:p w14:paraId="50C05340" w14:textId="77777777" w:rsidR="00397148" w:rsidRPr="00791519" w:rsidRDefault="00397148" w:rsidP="00397148">
      <w:pPr>
        <w:pStyle w:val="AqpText"/>
        <w:tabs>
          <w:tab w:val="left" w:pos="6663"/>
        </w:tabs>
      </w:pPr>
    </w:p>
    <w:p w14:paraId="0EFA445C" w14:textId="77777777" w:rsidR="003C5AF6" w:rsidRPr="00791519" w:rsidRDefault="003C5AF6" w:rsidP="003C5AF6">
      <w:pPr>
        <w:pStyle w:val="Nadpis1"/>
      </w:pPr>
      <w:bookmarkStart w:id="34" w:name="_Toc62201051"/>
      <w:r w:rsidRPr="00791519">
        <w:t>TECHNICKÝ POPIS</w:t>
      </w:r>
      <w:bookmarkEnd w:id="34"/>
    </w:p>
    <w:p w14:paraId="321D2FC6" w14:textId="77777777" w:rsidR="002753FD" w:rsidRPr="00791519" w:rsidRDefault="002753FD" w:rsidP="003C5AF6">
      <w:pPr>
        <w:pStyle w:val="Nadpis2"/>
      </w:pPr>
      <w:bookmarkStart w:id="35" w:name="_Toc62201052"/>
      <w:r w:rsidRPr="00791519">
        <w:t>Stok</w:t>
      </w:r>
      <w:r w:rsidR="00DC2374" w:rsidRPr="00791519">
        <w:t>a</w:t>
      </w:r>
      <w:bookmarkEnd w:id="35"/>
    </w:p>
    <w:p w14:paraId="24BE9B2B" w14:textId="6A7D004C" w:rsidR="00574180" w:rsidRPr="00791519" w:rsidRDefault="00574180" w:rsidP="003C5AF6">
      <w:pPr>
        <w:pStyle w:val="AqpText"/>
        <w:rPr>
          <w:b/>
          <w:u w:val="single"/>
        </w:rPr>
      </w:pPr>
      <w:r w:rsidRPr="00791519">
        <w:rPr>
          <w:b/>
          <w:u w:val="single"/>
        </w:rPr>
        <w:t>Trasa</w:t>
      </w:r>
      <w:r w:rsidR="00AD215C" w:rsidRPr="00791519">
        <w:rPr>
          <w:b/>
          <w:u w:val="single"/>
        </w:rPr>
        <w:t xml:space="preserve"> stoky „</w:t>
      </w:r>
      <w:r w:rsidR="00C652A4" w:rsidRPr="00791519">
        <w:rPr>
          <w:b/>
          <w:u w:val="single"/>
        </w:rPr>
        <w:t>Gajdošova (obsl. kom.) – 1. část</w:t>
      </w:r>
      <w:r w:rsidR="00AD215C" w:rsidRPr="00791519">
        <w:rPr>
          <w:b/>
          <w:u w:val="single"/>
        </w:rPr>
        <w:t>“</w:t>
      </w:r>
      <w:r w:rsidRPr="00791519">
        <w:rPr>
          <w:b/>
          <w:u w:val="single"/>
        </w:rPr>
        <w:t>:</w:t>
      </w:r>
    </w:p>
    <w:p w14:paraId="3F538B1A" w14:textId="48D1251E" w:rsidR="00AD215C" w:rsidRPr="00791519" w:rsidRDefault="00702B53" w:rsidP="003C5AF6">
      <w:pPr>
        <w:pStyle w:val="AqpText"/>
      </w:pPr>
      <w:r w:rsidRPr="00791519">
        <w:t>Navržená trasa stoky „</w:t>
      </w:r>
      <w:r w:rsidR="0022727E" w:rsidRPr="00791519">
        <w:t>Gajdošova (obsl. kom.) – 1. část</w:t>
      </w:r>
      <w:r w:rsidRPr="00791519">
        <w:t xml:space="preserve">“ </w:t>
      </w:r>
      <w:r w:rsidR="00FA5D04" w:rsidRPr="00791519">
        <w:t xml:space="preserve">kopíruje přibližně stávající trasu a </w:t>
      </w:r>
      <w:r w:rsidR="00085781" w:rsidRPr="00791519">
        <w:t xml:space="preserve">je umístěna </w:t>
      </w:r>
      <w:r w:rsidR="0022727E" w:rsidRPr="00791519">
        <w:t xml:space="preserve">na rozhraní nové komunikace – parkovací stání. </w:t>
      </w:r>
      <w:r w:rsidRPr="00791519">
        <w:t xml:space="preserve">Začátek se nachází v nejvyšším místě řešeného úseku </w:t>
      </w:r>
      <w:r w:rsidR="00EF63B2" w:rsidRPr="00791519">
        <w:t>v</w:t>
      </w:r>
      <w:r w:rsidR="0022727E" w:rsidRPr="00791519">
        <w:t> šachtě Š5, která je oproti stávajícímu stavu mírně odsunuta k VMO Gajdošova. V šachtě Š3 se napojuje dešťová kanalizace</w:t>
      </w:r>
      <w:r w:rsidR="002D3053" w:rsidRPr="00791519">
        <w:t xml:space="preserve"> KT DN 300 (propoj „dešťová kanalizace“)</w:t>
      </w:r>
      <w:r w:rsidR="0022727E" w:rsidRPr="00791519">
        <w:t>. Šachta je navržena s monolitickým dnem a odskokem dešťové kanalizace 1,0 m</w:t>
      </w:r>
      <w:r w:rsidR="002D3053" w:rsidRPr="00791519">
        <w:t xml:space="preserve"> nade dnem</w:t>
      </w:r>
      <w:r w:rsidR="0022727E" w:rsidRPr="00791519">
        <w:t xml:space="preserve">. </w:t>
      </w:r>
      <w:r w:rsidR="002D3053" w:rsidRPr="00791519">
        <w:t xml:space="preserve">V šachtě Š2 se napojuje stoka „Vančurova“ – jak přítok (odskok 0,16 m), tak i odlehčení (odskok 0,26 m). Šachta je </w:t>
      </w:r>
      <w:r w:rsidR="002D3053" w:rsidRPr="00791519">
        <w:lastRenderedPageBreak/>
        <w:t xml:space="preserve">navržena s monolitickým dnem. Stoka dále pokračuje až do stávající ztracené šachty ID 3755003 v blízkosti křižovatky s ulicí Jílkovou. </w:t>
      </w:r>
      <w:r w:rsidR="002D3053" w:rsidRPr="00502D8F">
        <w:rPr>
          <w:b/>
          <w:bCs/>
        </w:rPr>
        <w:t xml:space="preserve">Tato ztracená šachta bude vybourána. Nové potrubí bude na stávající napojeno </w:t>
      </w:r>
      <w:r w:rsidR="00502D8F">
        <w:rPr>
          <w:b/>
          <w:bCs/>
        </w:rPr>
        <w:t xml:space="preserve">přes spoj, který se očistí a následně se budou trouby klást dále. </w:t>
      </w:r>
      <w:r w:rsidR="002D3053" w:rsidRPr="00502D8F">
        <w:rPr>
          <w:b/>
          <w:bCs/>
        </w:rPr>
        <w:t>Napojení bude provedeno při stejném sklonu stávajícího i nového potrubí – přibližně 10 ‰.</w:t>
      </w:r>
      <w:r w:rsidR="002D3053" w:rsidRPr="00791519">
        <w:t xml:space="preserve"> </w:t>
      </w:r>
      <w:r w:rsidR="00085781" w:rsidRPr="00791519">
        <w:t xml:space="preserve">Celková délka řešeného úseku je </w:t>
      </w:r>
      <w:r w:rsidR="00791519" w:rsidRPr="00791519">
        <w:t>127</w:t>
      </w:r>
      <w:r w:rsidR="00085781" w:rsidRPr="00791519">
        <w:t>,</w:t>
      </w:r>
      <w:r w:rsidR="00791519" w:rsidRPr="00791519">
        <w:t>90</w:t>
      </w:r>
      <w:r w:rsidR="00085781" w:rsidRPr="00791519">
        <w:t xml:space="preserve"> m.</w:t>
      </w:r>
    </w:p>
    <w:p w14:paraId="16A13658" w14:textId="43D8BF0F" w:rsidR="001F6CB5" w:rsidRPr="00791519" w:rsidRDefault="0092593D" w:rsidP="000013B1">
      <w:pPr>
        <w:pStyle w:val="AqpText"/>
      </w:pPr>
      <w:r w:rsidRPr="00791519">
        <w:t xml:space="preserve">Podélný profil v celé délce </w:t>
      </w:r>
      <w:r w:rsidR="002D3053" w:rsidRPr="00791519">
        <w:t>kopíruje stávající</w:t>
      </w:r>
      <w:r w:rsidRPr="00791519">
        <w:t xml:space="preserve">. </w:t>
      </w:r>
      <w:r w:rsidR="00CD516B" w:rsidRPr="00791519">
        <w:t>Podélný sklon v úsek</w:t>
      </w:r>
      <w:r w:rsidR="00791519" w:rsidRPr="00791519">
        <w:t>u</w:t>
      </w:r>
      <w:r w:rsidR="00CD516B" w:rsidRPr="00791519">
        <w:t xml:space="preserve"> napojení – šachta Š2 je přibližně 10 ‰, podélný sklon v úseku šachet Š2 – Š5 je 18,95 ‰. </w:t>
      </w:r>
      <w:r w:rsidR="00BB23FE" w:rsidRPr="00791519">
        <w:t xml:space="preserve">Dimenze potrubí </w:t>
      </w:r>
      <w:r w:rsidR="00CD516B" w:rsidRPr="00791519">
        <w:t>zůstává stejná</w:t>
      </w:r>
      <w:r w:rsidR="000013B1" w:rsidRPr="00791519">
        <w:t xml:space="preserve"> DN </w:t>
      </w:r>
      <w:r w:rsidR="00CD516B" w:rsidRPr="00791519">
        <w:t>4</w:t>
      </w:r>
      <w:r w:rsidR="000013B1" w:rsidRPr="00791519">
        <w:t xml:space="preserve">00. </w:t>
      </w:r>
    </w:p>
    <w:p w14:paraId="41AE8362" w14:textId="77777777" w:rsidR="00574180" w:rsidRPr="00791519" w:rsidRDefault="00574180" w:rsidP="003C5AF6">
      <w:pPr>
        <w:pStyle w:val="AqpText"/>
        <w:rPr>
          <w:u w:val="single"/>
        </w:rPr>
      </w:pPr>
      <w:r w:rsidRPr="00791519">
        <w:rPr>
          <w:u w:val="single"/>
        </w:rPr>
        <w:t>Postup výstavby:</w:t>
      </w:r>
    </w:p>
    <w:p w14:paraId="75ED080D" w14:textId="0E74302C" w:rsidR="00CD516B" w:rsidRPr="00791519" w:rsidRDefault="00790C42" w:rsidP="003C5AF6">
      <w:pPr>
        <w:pStyle w:val="AqpText"/>
      </w:pPr>
      <w:r w:rsidRPr="00791519">
        <w:t xml:space="preserve">Při rekonstrukci kanalizace bude postupováno vždy proti spádu potrubí. Stavba </w:t>
      </w:r>
      <w:r w:rsidR="00CD516B" w:rsidRPr="00791519">
        <w:t xml:space="preserve">bude zahájena vybouráním stávající ztracené šachty ID 3755003 a napojení nového potrubí na stávající </w:t>
      </w:r>
      <w:r w:rsidR="00502D8F">
        <w:t xml:space="preserve">přes spoj, který se očistí a následně se budou trouby klást dále. </w:t>
      </w:r>
      <w:r w:rsidR="00CD516B" w:rsidRPr="00791519">
        <w:t>Dále bude postupováno proti spádu potrubí až po šachtu Š5</w:t>
      </w:r>
      <w:r w:rsidRPr="00791519">
        <w:t xml:space="preserve">. </w:t>
      </w:r>
      <w:r w:rsidR="000013B1" w:rsidRPr="00791519">
        <w:t>Šacht</w:t>
      </w:r>
      <w:r w:rsidR="00CD516B" w:rsidRPr="00791519">
        <w:t>y</w:t>
      </w:r>
      <w:r w:rsidR="000013B1" w:rsidRPr="00791519">
        <w:t xml:space="preserve"> Š</w:t>
      </w:r>
      <w:r w:rsidR="00CD516B" w:rsidRPr="00791519">
        <w:t>2 a Š3</w:t>
      </w:r>
      <w:r w:rsidR="000013B1" w:rsidRPr="00791519">
        <w:t xml:space="preserve"> j</w:t>
      </w:r>
      <w:r w:rsidR="00CD516B" w:rsidRPr="00791519">
        <w:t>sou</w:t>
      </w:r>
      <w:r w:rsidR="000013B1" w:rsidRPr="00791519">
        <w:t xml:space="preserve"> navržen</w:t>
      </w:r>
      <w:r w:rsidR="00CD516B" w:rsidRPr="00791519">
        <w:t>y</w:t>
      </w:r>
      <w:r w:rsidR="000013B1" w:rsidRPr="00791519">
        <w:t xml:space="preserve"> s monolitickým dnem. </w:t>
      </w:r>
      <w:r w:rsidR="009846A4" w:rsidRPr="00791519">
        <w:t>Ostatní šachty jsou navrženy s prefabrikovaným dnem.</w:t>
      </w:r>
      <w:r w:rsidR="000013B1" w:rsidRPr="00791519">
        <w:t xml:space="preserve"> </w:t>
      </w:r>
      <w:r w:rsidR="00CD516B" w:rsidRPr="00791519">
        <w:t>Při napojování nového potrubí na stávající je nutné zajistit vodotěsnost spojení.</w:t>
      </w:r>
    </w:p>
    <w:p w14:paraId="3434975D" w14:textId="7B3DA2BA" w:rsidR="00CD516B" w:rsidRPr="009929E6" w:rsidRDefault="009929E6" w:rsidP="003C5AF6">
      <w:pPr>
        <w:pStyle w:val="AqpText"/>
        <w:rPr>
          <w:b/>
          <w:bCs/>
          <w:u w:val="single"/>
        </w:rPr>
      </w:pPr>
      <w:r>
        <w:rPr>
          <w:b/>
          <w:bCs/>
          <w:u w:val="single"/>
        </w:rPr>
        <w:t>Trasa stoky „Gajdošova (obsl. kom.) – 2. část“:</w:t>
      </w:r>
    </w:p>
    <w:p w14:paraId="67D47BC9" w14:textId="27376CDF" w:rsidR="00CD516B" w:rsidRDefault="009929E6" w:rsidP="003C5AF6">
      <w:pPr>
        <w:pStyle w:val="AqpText"/>
      </w:pPr>
      <w:r>
        <w:t xml:space="preserve">Navržená trasa stoky „Gajdošova (Obsl. kom.) – 2. část“ je upravená tak, aby nezasahovala do VMO Gajdošova, </w:t>
      </w:r>
      <w:r w:rsidR="00C904D2">
        <w:br/>
      </w:r>
      <w:r>
        <w:t>a nacházela se v celé délce pouze na obslužné komunikaci, resp. v navazujícím chodníku. Začátek se nachází v právě budované šachtě S1 stoky, která je součástí projektu „</w:t>
      </w:r>
      <w:r w:rsidRPr="009929E6">
        <w:t>Polyfunkční dům Gajdošova, Brno – Židenice</w:t>
      </w:r>
      <w:r>
        <w:t xml:space="preserve">“, a která bude odvádět splaškové vody z tohoto domu. </w:t>
      </w:r>
      <w:r w:rsidR="00C904D2">
        <w:t xml:space="preserve">V tomto úseku pod parcelou číslo 5528/63 dojde po vybudování kanalizace k zapravení chodníku nad rýhou. </w:t>
      </w:r>
      <w:r w:rsidR="008A47DE">
        <w:t>V šachtě Š8 se stoka lomí a pokračuje v chodníku a dále v komunikaci až do šachty Š6, kde se stoka napojuje na stávající kanalizaci v blízkosti křižovatky s ulicí Jílkovou. Stávající ztracená šachta ID 3754998 bude vybourána a nahrazena novou šachtou (Š6) z důvodu změny směru, resp. trasy nové kanalizace.</w:t>
      </w:r>
      <w:r w:rsidR="00791519">
        <w:t xml:space="preserve"> Celková délka řešeného úseku je 71,00 m.</w:t>
      </w:r>
    </w:p>
    <w:p w14:paraId="3634BA2B" w14:textId="6D96F9F5" w:rsidR="00791519" w:rsidRDefault="00791519" w:rsidP="003C5AF6">
      <w:pPr>
        <w:pStyle w:val="AqpText"/>
      </w:pPr>
      <w:r>
        <w:t>Podélný profil v celé délce kopíruje stávající. Podélný sklon v úseku šachet Š6 – Š8 je 7,60 ‰, podélný sklon v úseku šachet Š8 – S1 je 4,76 ‰. Dimenze potrubí zůstává stejná DN 400.</w:t>
      </w:r>
    </w:p>
    <w:p w14:paraId="0D6672AE" w14:textId="2E4A4538" w:rsidR="00791519" w:rsidRPr="00791519" w:rsidRDefault="00791519" w:rsidP="003C5AF6">
      <w:pPr>
        <w:pStyle w:val="AqpText"/>
        <w:rPr>
          <w:u w:val="single"/>
        </w:rPr>
      </w:pPr>
      <w:r>
        <w:rPr>
          <w:u w:val="single"/>
        </w:rPr>
        <w:t>Postup výstavby:</w:t>
      </w:r>
    </w:p>
    <w:p w14:paraId="30D5A953" w14:textId="364F0823" w:rsidR="009846A4" w:rsidRPr="008B0FC3" w:rsidRDefault="00791519" w:rsidP="003C5AF6">
      <w:pPr>
        <w:pStyle w:val="AqpText"/>
      </w:pPr>
      <w:r>
        <w:t xml:space="preserve">Při rekonstrukci kanalizace bude postupováno vždy proti spádu potrubí. Stavba bude zahájena vybouráním stávající ztracené šachty ID 3754998 a vybudováním nové šachty Š6 na stejném místě. Dále bude postupováno proti spádu potrubí až po stávající šachtu S1. Všechny šachty jsou navrženy s prefabrikovaným dnem. </w:t>
      </w:r>
      <w:r w:rsidR="000013B1" w:rsidRPr="008B0FC3">
        <w:t>Při napojování stávajícího potrubí do nové šachty je nutné zajistit vodotěsnost spojení použitím bobtnavého těsnícího pásku.</w:t>
      </w:r>
    </w:p>
    <w:p w14:paraId="0FCDAB40" w14:textId="23AC9E5D" w:rsidR="00085781" w:rsidRPr="00791519" w:rsidRDefault="00085781" w:rsidP="00EA5CA8">
      <w:pPr>
        <w:pStyle w:val="AqpText"/>
        <w:rPr>
          <w:b/>
          <w:u w:val="single"/>
        </w:rPr>
      </w:pPr>
      <w:r w:rsidRPr="00791519">
        <w:rPr>
          <w:b/>
          <w:u w:val="single"/>
        </w:rPr>
        <w:t xml:space="preserve">Trasa </w:t>
      </w:r>
      <w:r w:rsidR="000013B1" w:rsidRPr="00791519">
        <w:rPr>
          <w:b/>
          <w:u w:val="single"/>
        </w:rPr>
        <w:t>propoje</w:t>
      </w:r>
      <w:r w:rsidRPr="00791519">
        <w:rPr>
          <w:b/>
          <w:u w:val="single"/>
        </w:rPr>
        <w:t xml:space="preserve"> „</w:t>
      </w:r>
      <w:r w:rsidR="00AA7A08">
        <w:rPr>
          <w:b/>
          <w:u w:val="single"/>
        </w:rPr>
        <w:t>dešťová kanalizace</w:t>
      </w:r>
      <w:r w:rsidR="008D4BCD" w:rsidRPr="00791519">
        <w:rPr>
          <w:b/>
          <w:u w:val="single"/>
        </w:rPr>
        <w:t>“</w:t>
      </w:r>
      <w:r w:rsidRPr="00791519">
        <w:rPr>
          <w:b/>
          <w:u w:val="single"/>
        </w:rPr>
        <w:t>:</w:t>
      </w:r>
    </w:p>
    <w:p w14:paraId="545A6C6C" w14:textId="16498B3F" w:rsidR="007051B4" w:rsidRPr="00791519" w:rsidRDefault="000013B1" w:rsidP="008B0FC3">
      <w:pPr>
        <w:pStyle w:val="AqpText"/>
      </w:pPr>
      <w:r w:rsidRPr="00791519">
        <w:t>Propoj „</w:t>
      </w:r>
      <w:r w:rsidR="006C2FC3" w:rsidRPr="00791519">
        <w:t>dešťová kanalizace</w:t>
      </w:r>
      <w:r w:rsidRPr="00791519">
        <w:t xml:space="preserve">“ </w:t>
      </w:r>
      <w:r w:rsidR="006C2FC3" w:rsidRPr="00791519">
        <w:t>přivádí dešťové vody z komunikace VMO Gajdošova</w:t>
      </w:r>
      <w:r w:rsidRPr="00791519">
        <w:t xml:space="preserve">. </w:t>
      </w:r>
      <w:r w:rsidR="006C2FC3" w:rsidRPr="00791519">
        <w:t xml:space="preserve">Propoj se do stoky „Gajdošova (obsl. kom.) – 1. část“ napojuje v šachtě Š3 s odskokem 1,0 m nade dnem. </w:t>
      </w:r>
      <w:r w:rsidR="008B0FC3" w:rsidRPr="00791519">
        <w:t xml:space="preserve">Niveleta i dimenze je </w:t>
      </w:r>
      <w:r w:rsidR="006C2FC3" w:rsidRPr="00791519">
        <w:t>shodná – sklon 6</w:t>
      </w:r>
      <w:r w:rsidR="008B0FC3" w:rsidRPr="00791519">
        <w:t xml:space="preserve">0,00 ‰ a </w:t>
      </w:r>
      <w:r w:rsidR="006C2FC3" w:rsidRPr="00791519">
        <w:t>kruhový profil KT</w:t>
      </w:r>
      <w:r w:rsidR="008B0FC3" w:rsidRPr="00791519">
        <w:t xml:space="preserve"> DN </w:t>
      </w:r>
      <w:r w:rsidR="006C2FC3" w:rsidRPr="00791519">
        <w:t xml:space="preserve">300 </w:t>
      </w:r>
      <w:r w:rsidR="008B0FC3" w:rsidRPr="00791519">
        <w:t xml:space="preserve">o délce </w:t>
      </w:r>
      <w:r w:rsidR="006C2FC3" w:rsidRPr="00791519">
        <w:t>13</w:t>
      </w:r>
      <w:r w:rsidR="008B0FC3" w:rsidRPr="00791519">
        <w:t xml:space="preserve">,00 m. </w:t>
      </w:r>
    </w:p>
    <w:p w14:paraId="2BFE4D9E" w14:textId="77777777" w:rsidR="009846A4" w:rsidRPr="00791519" w:rsidRDefault="009846A4" w:rsidP="00EA5CA8">
      <w:pPr>
        <w:pStyle w:val="AqpText"/>
        <w:rPr>
          <w:u w:val="single"/>
        </w:rPr>
      </w:pPr>
      <w:r w:rsidRPr="00791519">
        <w:rPr>
          <w:u w:val="single"/>
        </w:rPr>
        <w:t>Postup výstavby:</w:t>
      </w:r>
    </w:p>
    <w:p w14:paraId="55F46CD4" w14:textId="016D2E8C" w:rsidR="009846A4" w:rsidRPr="00791519" w:rsidRDefault="009846A4" w:rsidP="00EA5CA8">
      <w:pPr>
        <w:pStyle w:val="AqpText"/>
      </w:pPr>
      <w:r w:rsidRPr="00791519">
        <w:t xml:space="preserve">Výstavba </w:t>
      </w:r>
      <w:r w:rsidR="008B0FC3" w:rsidRPr="00791519">
        <w:t>propoje</w:t>
      </w:r>
      <w:r w:rsidRPr="00791519">
        <w:t xml:space="preserve"> „</w:t>
      </w:r>
      <w:r w:rsidR="006C2FC3" w:rsidRPr="00791519">
        <w:t>dešťová kanalizace</w:t>
      </w:r>
      <w:r w:rsidRPr="00791519">
        <w:t>“ bude zahájena po vybudování šachty Š</w:t>
      </w:r>
      <w:r w:rsidR="006C2FC3" w:rsidRPr="00791519">
        <w:t>3</w:t>
      </w:r>
      <w:r w:rsidRPr="00791519">
        <w:t>. Následně se bude postupovat proti spádu potrubí.</w:t>
      </w:r>
      <w:r w:rsidR="006C2FC3" w:rsidRPr="00791519">
        <w:t xml:space="preserve"> Napojení na stávající potrubí bude provedeno pomocí manžetového těsnění.</w:t>
      </w:r>
    </w:p>
    <w:p w14:paraId="45BA7394" w14:textId="77777777" w:rsidR="002753FD" w:rsidRPr="00791519" w:rsidRDefault="002753FD" w:rsidP="002753FD">
      <w:pPr>
        <w:pStyle w:val="Nadpis2"/>
      </w:pPr>
      <w:bookmarkStart w:id="36" w:name="_Toc62201053"/>
      <w:r w:rsidRPr="00791519">
        <w:lastRenderedPageBreak/>
        <w:t>Objekty</w:t>
      </w:r>
      <w:r w:rsidR="007303F2" w:rsidRPr="00791519">
        <w:t xml:space="preserve"> na stokách</w:t>
      </w:r>
      <w:bookmarkEnd w:id="36"/>
    </w:p>
    <w:p w14:paraId="1CF0C1A5" w14:textId="180036C4" w:rsidR="002753FD" w:rsidRPr="00791519" w:rsidRDefault="002753FD" w:rsidP="002753FD">
      <w:pPr>
        <w:pStyle w:val="Nadpis3"/>
      </w:pPr>
      <w:bookmarkStart w:id="37" w:name="_Toc62201054"/>
      <w:r w:rsidRPr="00791519">
        <w:t>Typové prefabrikované revizní šachty</w:t>
      </w:r>
      <w:bookmarkEnd w:id="37"/>
    </w:p>
    <w:p w14:paraId="05850DF6" w14:textId="29748930" w:rsidR="002C5AAC" w:rsidRPr="00791519" w:rsidRDefault="002C5AAC" w:rsidP="002C5AAC">
      <w:pPr>
        <w:pStyle w:val="AqpText"/>
      </w:pPr>
      <w:r w:rsidRPr="00791519">
        <w:t>Na stoce „</w:t>
      </w:r>
      <w:r w:rsidR="00982310" w:rsidRPr="00791519">
        <w:t>Gajdošova (obsl. kom.) – 1. i 2. část</w:t>
      </w:r>
      <w:r w:rsidRPr="00791519">
        <w:t>“ jsou použity prefabrikované revizní šachty s prefabrikovanými nebo monolitickými dny. Prefabrikovaná dna mají následující šachty: Š</w:t>
      </w:r>
      <w:r w:rsidR="00982310" w:rsidRPr="00791519">
        <w:t>1</w:t>
      </w:r>
      <w:r w:rsidRPr="00791519">
        <w:t>, Š</w:t>
      </w:r>
      <w:r w:rsidR="00982310" w:rsidRPr="00791519">
        <w:t>4</w:t>
      </w:r>
      <w:r w:rsidRPr="00791519">
        <w:t>, Š</w:t>
      </w:r>
      <w:r w:rsidR="00982310" w:rsidRPr="00791519">
        <w:t>5, Š6</w:t>
      </w:r>
      <w:r w:rsidR="000873B9" w:rsidRPr="00791519">
        <w:t>, Š7</w:t>
      </w:r>
      <w:r w:rsidRPr="00791519">
        <w:t xml:space="preserve"> a Š</w:t>
      </w:r>
      <w:r w:rsidR="000873B9" w:rsidRPr="00791519">
        <w:t>8</w:t>
      </w:r>
      <w:r w:rsidRPr="00791519">
        <w:t>.</w:t>
      </w:r>
    </w:p>
    <w:p w14:paraId="5C753C94" w14:textId="791CF2B9" w:rsidR="002C5AAC" w:rsidRPr="00791519" w:rsidRDefault="002C5AAC" w:rsidP="002C5AAC">
      <w:pPr>
        <w:pStyle w:val="AqpText"/>
      </w:pPr>
      <w:r w:rsidRPr="00791519">
        <w:t>Šachta DN 1000 se dnem DN 1</w:t>
      </w:r>
      <w:r w:rsidR="00982310" w:rsidRPr="00791519">
        <w:t>0</w:t>
      </w:r>
      <w:r w:rsidRPr="00791519">
        <w:t>00 je běžná typová prefabrikovaná, tl. stěny 120 mm, resp. 150 mm (dno). Pří zvýšené agresivitě chemického prostředí XA2 musí být použit síranovzdorný cement. Šachta se skládá z prefabrikovaného šachetního dna DN 1</w:t>
      </w:r>
      <w:r w:rsidR="00982310" w:rsidRPr="00791519">
        <w:t>0</w:t>
      </w:r>
      <w:r w:rsidRPr="00791519">
        <w:t xml:space="preserve">00 s kynetou tvořenou </w:t>
      </w:r>
      <w:r w:rsidR="00982310" w:rsidRPr="00791519">
        <w:t>kameninovým žlabem 180°</w:t>
      </w:r>
      <w:r w:rsidR="00137409" w:rsidRPr="00791519">
        <w:t xml:space="preserve"> DN </w:t>
      </w:r>
      <w:r w:rsidR="00982310" w:rsidRPr="00791519">
        <w:t>4</w:t>
      </w:r>
      <w:r w:rsidR="00137409" w:rsidRPr="00791519">
        <w:t>00</w:t>
      </w:r>
      <w:r w:rsidR="002625A3">
        <w:t xml:space="preserve"> (</w:t>
      </w:r>
      <w:r w:rsidR="002625A3" w:rsidRPr="002625A3">
        <w:t>podesta bude zvýšena kam. cihly na úroveň DN</w:t>
      </w:r>
      <w:r w:rsidR="002625A3">
        <w:t>)</w:t>
      </w:r>
      <w:r w:rsidR="00982310" w:rsidRPr="00791519">
        <w:t>,</w:t>
      </w:r>
      <w:r w:rsidRPr="00791519">
        <w:t xml:space="preserve"> z šachtových skruží a z přechodového kónusu, popř. z důvodu nízké výšky nadloží bude použita přechodová deska</w:t>
      </w:r>
      <w:r w:rsidR="00137409" w:rsidRPr="00791519">
        <w:t xml:space="preserve"> </w:t>
      </w:r>
      <w:r w:rsidRPr="00791519">
        <w:t>výšky 200 mm s jedním kusem vyrovnávacího prstence. Šachetní díly budou osazeny zabudovanými ocelovými stupadly s PE potahem. Vodotěsnost spojů zajišťuje pryžové (elastomerové) těsnění odpovídající normě ČSN EN 681-1. Při změně profilu v šachtě bude šachtou procházet větší profil dolním úsekem. Horní plocha podesty má spád 3% do středu šachty a bude z betonu, natřená ochranným nátěrem na betonové konstrukce vhodným pro styk s odpadní vodou. Spáry mezi prefabrikovanými šachtovými dílci budou zamazány maltovou směsí (např. ERGELIT). Vzorový výkres viz příloha D.1.</w:t>
      </w:r>
      <w:r w:rsidR="00137409" w:rsidRPr="00791519">
        <w:t>7</w:t>
      </w:r>
      <w:r w:rsidRPr="00791519">
        <w:t>.</w:t>
      </w:r>
      <w:r w:rsidR="00982310" w:rsidRPr="00791519">
        <w:t>2</w:t>
      </w:r>
      <w:r w:rsidRPr="00791519">
        <w:t xml:space="preserve"> Vzorová prefabrikovaná revizní šachta DN 1</w:t>
      </w:r>
      <w:r w:rsidR="00982310" w:rsidRPr="00791519">
        <w:t>0</w:t>
      </w:r>
      <w:r w:rsidRPr="00791519">
        <w:t>00.</w:t>
      </w:r>
    </w:p>
    <w:p w14:paraId="69E91170" w14:textId="69BD2356" w:rsidR="008B0FC3" w:rsidRPr="00791519" w:rsidRDefault="002C5AAC" w:rsidP="002C5AAC">
      <w:pPr>
        <w:pStyle w:val="AqpText"/>
      </w:pPr>
      <w:r w:rsidRPr="00791519">
        <w:t>Technické řešení je vykresleno a popsáno v příloze D.1.</w:t>
      </w:r>
      <w:r w:rsidR="00137409" w:rsidRPr="00791519">
        <w:t>6</w:t>
      </w:r>
      <w:r w:rsidRPr="00791519">
        <w:t xml:space="preserve"> </w:t>
      </w:r>
      <w:r w:rsidR="00137409" w:rsidRPr="00791519">
        <w:t>V</w:t>
      </w:r>
      <w:r w:rsidRPr="00791519">
        <w:t>ýpis prefabrikátů. Celá konstrukce šachty musí být provedena jako vodonepropustná.</w:t>
      </w:r>
    </w:p>
    <w:p w14:paraId="16E8C8D3" w14:textId="77777777" w:rsidR="002C5AAC" w:rsidRPr="00791519" w:rsidRDefault="002C5AAC" w:rsidP="002C5AAC">
      <w:pPr>
        <w:pStyle w:val="AqpText"/>
        <w:rPr>
          <w:u w:val="single"/>
        </w:rPr>
      </w:pPr>
      <w:r w:rsidRPr="00791519">
        <w:rPr>
          <w:u w:val="single"/>
        </w:rPr>
        <w:t>Stupadla</w:t>
      </w:r>
    </w:p>
    <w:p w14:paraId="7B6CF8ED" w14:textId="77777777" w:rsidR="002C5AAC" w:rsidRPr="00791519" w:rsidRDefault="002C5AAC" w:rsidP="002C5AAC">
      <w:pPr>
        <w:pStyle w:val="AqpText"/>
      </w:pPr>
      <w:r w:rsidRPr="00791519">
        <w:t>Stupadla budou použita typu KASI s ocelovým jádrem a povlakem z PE. Stupadla osazená v šachetních skružích budou mít standardní délku odpovídající příslušné ČSN. Stupadla v přechodovém kusu budou osazena odlišně od ostatních – horní zapuštěné (kapsové) bude osazeno asymetricky a dolní vidlicové bude mít zkrácenou délku.</w:t>
      </w:r>
    </w:p>
    <w:p w14:paraId="1E9697BB" w14:textId="7DC36965" w:rsidR="002C5AAC" w:rsidRPr="00791519" w:rsidRDefault="002C5AAC" w:rsidP="002C5AAC">
      <w:pPr>
        <w:pStyle w:val="AqpText"/>
        <w:rPr>
          <w:u w:val="single"/>
        </w:rPr>
      </w:pPr>
      <w:r w:rsidRPr="00791519">
        <w:rPr>
          <w:u w:val="single"/>
        </w:rPr>
        <w:t>Poklopy</w:t>
      </w:r>
    </w:p>
    <w:p w14:paraId="2002E54B" w14:textId="5369B02C" w:rsidR="002753FD" w:rsidRPr="00791519" w:rsidRDefault="002753FD" w:rsidP="002753FD">
      <w:pPr>
        <w:pStyle w:val="AqpText"/>
      </w:pPr>
      <w:r w:rsidRPr="00791519">
        <w:t>Všechny revizní šachty budou osazeny šachtovými poklopy litinovými tř. D400 vzor Brno. Každá RŠ musí být vyskládána z prefabrikátů tak, aby pod rámem poklopu byl min. jeden vyrovnávací prstenec.</w:t>
      </w:r>
      <w:r w:rsidR="00B2506B" w:rsidRPr="00791519">
        <w:t xml:space="preserve"> Maximální výška prstenců však nesmí přesáhnout 25 cm.</w:t>
      </w:r>
    </w:p>
    <w:p w14:paraId="2A233ECC" w14:textId="77777777" w:rsidR="008F2BC4" w:rsidRPr="00791519" w:rsidRDefault="008F2BC4" w:rsidP="008F2BC4">
      <w:pPr>
        <w:pStyle w:val="Nadpis3"/>
      </w:pPr>
      <w:bookmarkStart w:id="38" w:name="_Toc62201055"/>
      <w:r w:rsidRPr="00791519">
        <w:t>Atypické revizní šachty</w:t>
      </w:r>
      <w:bookmarkEnd w:id="38"/>
    </w:p>
    <w:p w14:paraId="252CD5B4" w14:textId="77DCA221" w:rsidR="008F2BC4" w:rsidRPr="00791519" w:rsidRDefault="00620E33" w:rsidP="002753FD">
      <w:pPr>
        <w:pStyle w:val="AqpText"/>
      </w:pPr>
      <w:r w:rsidRPr="00791519">
        <w:t>J</w:t>
      </w:r>
      <w:r w:rsidR="000873B9" w:rsidRPr="00791519">
        <w:t>sou</w:t>
      </w:r>
      <w:r w:rsidRPr="00791519">
        <w:t xml:space="preserve"> navržen</w:t>
      </w:r>
      <w:r w:rsidR="000873B9" w:rsidRPr="00791519">
        <w:t>y</w:t>
      </w:r>
      <w:r w:rsidR="00154A07" w:rsidRPr="00791519">
        <w:t xml:space="preserve"> </w:t>
      </w:r>
      <w:r w:rsidR="000873B9" w:rsidRPr="00791519">
        <w:t>2</w:t>
      </w:r>
      <w:r w:rsidRPr="00791519">
        <w:t xml:space="preserve"> </w:t>
      </w:r>
      <w:r w:rsidR="003842F9" w:rsidRPr="00791519">
        <w:t>šach</w:t>
      </w:r>
      <w:r w:rsidR="00455BA1" w:rsidRPr="00791519">
        <w:t>t</w:t>
      </w:r>
      <w:r w:rsidR="000873B9" w:rsidRPr="00791519">
        <w:t>y</w:t>
      </w:r>
      <w:r w:rsidR="003842F9" w:rsidRPr="00791519">
        <w:t xml:space="preserve"> s </w:t>
      </w:r>
      <w:r w:rsidRPr="00791519">
        <w:t>atypick</w:t>
      </w:r>
      <w:r w:rsidR="003842F9" w:rsidRPr="00791519">
        <w:t>ým</w:t>
      </w:r>
      <w:r w:rsidRPr="00791519">
        <w:t xml:space="preserve"> </w:t>
      </w:r>
      <w:r w:rsidR="003842F9" w:rsidRPr="00791519">
        <w:t>dnem</w:t>
      </w:r>
      <w:r w:rsidR="00154A07" w:rsidRPr="00791519">
        <w:t xml:space="preserve"> (šacht</w:t>
      </w:r>
      <w:r w:rsidR="00FD2896" w:rsidRPr="00791519">
        <w:t>a</w:t>
      </w:r>
      <w:r w:rsidR="00154A07" w:rsidRPr="00791519">
        <w:t xml:space="preserve"> </w:t>
      </w:r>
      <w:r w:rsidR="003842F9" w:rsidRPr="00791519">
        <w:t>Š</w:t>
      </w:r>
      <w:r w:rsidR="00FD2896" w:rsidRPr="00791519">
        <w:t>2</w:t>
      </w:r>
      <w:r w:rsidR="000873B9" w:rsidRPr="00791519">
        <w:t xml:space="preserve"> a Š3</w:t>
      </w:r>
      <w:r w:rsidR="00455BA1" w:rsidRPr="00791519">
        <w:t xml:space="preserve">). </w:t>
      </w:r>
      <w:r w:rsidR="00FD2896" w:rsidRPr="00791519">
        <w:t>Š</w:t>
      </w:r>
      <w:r w:rsidRPr="00791519">
        <w:t xml:space="preserve">achta je tvořena monolitickým dnem, zákrytovou deskou (staveništní prefabrikát) a vstupním komínem z prefabrikovaných dílců. </w:t>
      </w:r>
      <w:r w:rsidR="00354D65" w:rsidRPr="00791519">
        <w:t>Monolitické dno včetně stropu bude z betonu C30/37 XA1.</w:t>
      </w:r>
    </w:p>
    <w:p w14:paraId="440F19B5" w14:textId="03AE926D" w:rsidR="00D23828" w:rsidRPr="00791519" w:rsidRDefault="00D23828" w:rsidP="002753FD">
      <w:pPr>
        <w:pStyle w:val="AqpText"/>
      </w:pPr>
      <w:r w:rsidRPr="00791519">
        <w:t>Dno šachty Š</w:t>
      </w:r>
      <w:r w:rsidR="00FD2896" w:rsidRPr="00791519">
        <w:t>2</w:t>
      </w:r>
      <w:r w:rsidRPr="00791519">
        <w:t xml:space="preserve"> má vn</w:t>
      </w:r>
      <w:r w:rsidR="003301C6" w:rsidRPr="00791519">
        <w:t>itřní</w:t>
      </w:r>
      <w:r w:rsidRPr="00791519">
        <w:t xml:space="preserve"> půdorysné rozměry </w:t>
      </w:r>
      <w:r w:rsidR="003301C6" w:rsidRPr="00791519">
        <w:t>1</w:t>
      </w:r>
      <w:r w:rsidRPr="00791519">
        <w:t>,</w:t>
      </w:r>
      <w:r w:rsidR="008A6C8E" w:rsidRPr="00791519">
        <w:t>5</w:t>
      </w:r>
      <w:r w:rsidR="00455BA1" w:rsidRPr="00791519">
        <w:t>0</w:t>
      </w:r>
      <w:r w:rsidRPr="00791519">
        <w:t xml:space="preserve"> x </w:t>
      </w:r>
      <w:r w:rsidR="003301C6" w:rsidRPr="00791519">
        <w:t>1</w:t>
      </w:r>
      <w:r w:rsidRPr="00791519">
        <w:t>,</w:t>
      </w:r>
      <w:r w:rsidR="0024620D" w:rsidRPr="00791519">
        <w:t>2</w:t>
      </w:r>
      <w:r w:rsidRPr="00791519">
        <w:t>0 m</w:t>
      </w:r>
      <w:r w:rsidR="003842F9" w:rsidRPr="00791519">
        <w:t xml:space="preserve"> a výšku</w:t>
      </w:r>
      <w:r w:rsidRPr="00791519">
        <w:t xml:space="preserve"> </w:t>
      </w:r>
      <w:r w:rsidR="0024620D" w:rsidRPr="00791519">
        <w:t>2</w:t>
      </w:r>
      <w:r w:rsidRPr="00791519">
        <w:t>,</w:t>
      </w:r>
      <w:r w:rsidR="00E24AD3" w:rsidRPr="00791519">
        <w:t>3</w:t>
      </w:r>
      <w:r w:rsidR="008A6C8E" w:rsidRPr="00791519">
        <w:t>0</w:t>
      </w:r>
      <w:r w:rsidRPr="00791519">
        <w:t xml:space="preserve"> m. Dno a stěny mají tloušťku 0,30 m, strop (staveništní prefabrikát) má tloušťku 0,25 m. </w:t>
      </w:r>
      <w:r w:rsidR="0024620D" w:rsidRPr="00791519">
        <w:t xml:space="preserve">Kyneta bude tvořena </w:t>
      </w:r>
      <w:r w:rsidR="008A6C8E" w:rsidRPr="00791519">
        <w:t>kameninovým žlabem 180°</w:t>
      </w:r>
      <w:r w:rsidR="0024620D" w:rsidRPr="00791519">
        <w:t xml:space="preserve"> DN </w:t>
      </w:r>
      <w:r w:rsidR="008A6C8E" w:rsidRPr="00791519">
        <w:t>4</w:t>
      </w:r>
      <w:r w:rsidR="0024620D" w:rsidRPr="00791519">
        <w:t>00</w:t>
      </w:r>
      <w:r w:rsidR="002625A3">
        <w:t xml:space="preserve"> (</w:t>
      </w:r>
      <w:r w:rsidR="002625A3" w:rsidRPr="002625A3">
        <w:t>podesta bude zvýšena kam. cihly na úroveň DN</w:t>
      </w:r>
      <w:r w:rsidR="002625A3">
        <w:t>)</w:t>
      </w:r>
      <w:r w:rsidR="003842F9" w:rsidRPr="00791519">
        <w:t>.</w:t>
      </w:r>
      <w:r w:rsidR="00354D65" w:rsidRPr="00791519">
        <w:t xml:space="preserve"> </w:t>
      </w:r>
      <w:r w:rsidR="00E24AD3" w:rsidRPr="00791519">
        <w:t>Šachta umožňuje odlehčení splaškových vod do stoky „</w:t>
      </w:r>
      <w:r w:rsidR="008A6C8E" w:rsidRPr="00791519">
        <w:t>Vančurova</w:t>
      </w:r>
      <w:r w:rsidR="00E24AD3" w:rsidRPr="00791519">
        <w:t>“</w:t>
      </w:r>
      <w:r w:rsidR="008A6C8E" w:rsidRPr="00791519">
        <w:t xml:space="preserve"> (převýšení 0,26 m)</w:t>
      </w:r>
      <w:r w:rsidR="00E24AD3" w:rsidRPr="00791519">
        <w:t xml:space="preserve">. </w:t>
      </w:r>
      <w:r w:rsidR="008A6C8E" w:rsidRPr="00791519">
        <w:t xml:space="preserve">Z druhé strany je do šachty zaústěn přítok stoky „Vančurova“ (převýšení 0,16 m). </w:t>
      </w:r>
      <w:r w:rsidR="00354D65" w:rsidRPr="00791519">
        <w:t>Detailní výkres šachty j</w:t>
      </w:r>
      <w:r w:rsidR="003842F9" w:rsidRPr="00791519">
        <w:t>e vykreslen v příloze D.1.5.1, výkresy výztuže v přílohách D.1.5.2 a D.1.5.3.</w:t>
      </w:r>
    </w:p>
    <w:p w14:paraId="2090B4CE" w14:textId="684164EC" w:rsidR="00490D6A" w:rsidRPr="00791519" w:rsidRDefault="00490D6A" w:rsidP="002753FD">
      <w:pPr>
        <w:pStyle w:val="AqpText"/>
      </w:pPr>
      <w:r w:rsidRPr="00791519">
        <w:t>Dno šachty Š3 má vnitřní půdorysné rozměry 1,00 x 1,00 m a výšku 2,3</w:t>
      </w:r>
      <w:r w:rsidR="000873B9" w:rsidRPr="00791519">
        <w:t>1</w:t>
      </w:r>
      <w:r w:rsidRPr="00791519">
        <w:t xml:space="preserve"> m. Dno a stěny mají tloušťku 0,30 m, strop (staveništní prefabrikát) má tloušťku 0,25 m. Kyneta bude tvořena kameninovým žlabem 180° DN 400</w:t>
      </w:r>
      <w:r w:rsidR="002625A3">
        <w:t xml:space="preserve"> (</w:t>
      </w:r>
      <w:r w:rsidR="002625A3" w:rsidRPr="002625A3">
        <w:t>podesta bude zvýšena kam. cihly na úroveň DN</w:t>
      </w:r>
      <w:r w:rsidR="002625A3">
        <w:t>)</w:t>
      </w:r>
      <w:r w:rsidRPr="00791519">
        <w:t xml:space="preserve">. Do šachty je napojena dešťová kanalizace KT DN 300. Napojení se nachází 1,0 m </w:t>
      </w:r>
      <w:r w:rsidRPr="00791519">
        <w:lastRenderedPageBreak/>
        <w:t>nade dnem. Dno šachty</w:t>
      </w:r>
      <w:r w:rsidR="000873B9" w:rsidRPr="00791519">
        <w:t>, nárazová stěna a stěna s přítokem</w:t>
      </w:r>
      <w:r w:rsidRPr="00791519">
        <w:t xml:space="preserve"> j</w:t>
      </w:r>
      <w:r w:rsidR="000873B9" w:rsidRPr="00791519">
        <w:t>sou</w:t>
      </w:r>
      <w:r w:rsidRPr="00791519">
        <w:t xml:space="preserve"> obložen</w:t>
      </w:r>
      <w:r w:rsidR="000873B9" w:rsidRPr="00791519">
        <w:t>y</w:t>
      </w:r>
      <w:r w:rsidRPr="00791519">
        <w:t xml:space="preserve"> kameninovým obkladem. Detailní výkres šachty je vykreslen v příloze D.1.5.4, výkresy výztuže v přílohách D.1.5.5 a D.1.5.6.</w:t>
      </w:r>
    </w:p>
    <w:p w14:paraId="02BA6CE2" w14:textId="77777777" w:rsidR="00620E33" w:rsidRPr="00791519" w:rsidRDefault="00620E33" w:rsidP="002753FD">
      <w:pPr>
        <w:pStyle w:val="AqpText"/>
        <w:rPr>
          <w:u w:val="single"/>
        </w:rPr>
      </w:pPr>
      <w:r w:rsidRPr="00791519">
        <w:rPr>
          <w:u w:val="single"/>
        </w:rPr>
        <w:t>Všeobecně platné zásady:</w:t>
      </w:r>
    </w:p>
    <w:p w14:paraId="44EFC33D" w14:textId="77777777" w:rsidR="00620E33" w:rsidRPr="00791519" w:rsidRDefault="00620E33" w:rsidP="00620E33">
      <w:pPr>
        <w:pStyle w:val="AqpText"/>
        <w:numPr>
          <w:ilvl w:val="0"/>
          <w:numId w:val="10"/>
        </w:numPr>
      </w:pPr>
      <w:r w:rsidRPr="00791519">
        <w:t>Stupadla navazující na vstupní komín budou typu KASI s ocelovým jádrem a povlakem z</w:t>
      </w:r>
      <w:r w:rsidR="00F21F99" w:rsidRPr="00791519">
        <w:t> </w:t>
      </w:r>
      <w:r w:rsidRPr="00791519">
        <w:t>PE</w:t>
      </w:r>
      <w:r w:rsidR="00F21F99" w:rsidRPr="00791519">
        <w:t>.</w:t>
      </w:r>
    </w:p>
    <w:p w14:paraId="3D21CA4A" w14:textId="77777777" w:rsidR="00184BD3" w:rsidRPr="00791519" w:rsidRDefault="00184BD3" w:rsidP="00620E33">
      <w:pPr>
        <w:pStyle w:val="AqpText"/>
        <w:numPr>
          <w:ilvl w:val="0"/>
          <w:numId w:val="10"/>
        </w:numPr>
      </w:pPr>
      <w:r w:rsidRPr="00791519">
        <w:t>Podesty budou ve spádu 3</w:t>
      </w:r>
      <w:r w:rsidR="00F21F99" w:rsidRPr="00791519">
        <w:t xml:space="preserve"> </w:t>
      </w:r>
      <w:r w:rsidRPr="00791519">
        <w:t xml:space="preserve">% směrem k potrubí. </w:t>
      </w:r>
    </w:p>
    <w:p w14:paraId="545A3C2B" w14:textId="77777777" w:rsidR="00184BD3" w:rsidRPr="00791519" w:rsidRDefault="00184BD3" w:rsidP="00184BD3">
      <w:pPr>
        <w:pStyle w:val="AqpText"/>
        <w:numPr>
          <w:ilvl w:val="0"/>
          <w:numId w:val="10"/>
        </w:numPr>
      </w:pPr>
      <w:r w:rsidRPr="00791519">
        <w:t>Vnitřní povrchy šachty budou ošetřeny ochranným nátěrem (např.</w:t>
      </w:r>
      <w:r w:rsidRPr="00791519">
        <w:rPr>
          <w:rFonts w:cs="Arial Narrow"/>
        </w:rPr>
        <w:t xml:space="preserve"> PCI Kanadicht)</w:t>
      </w:r>
      <w:r w:rsidRPr="00791519">
        <w:t>.</w:t>
      </w:r>
    </w:p>
    <w:p w14:paraId="24C31BCF" w14:textId="50A2CE62" w:rsidR="00620E33" w:rsidRPr="00791519" w:rsidRDefault="00184BD3" w:rsidP="00620E33">
      <w:pPr>
        <w:pStyle w:val="AqpText"/>
        <w:numPr>
          <w:ilvl w:val="0"/>
          <w:numId w:val="10"/>
        </w:numPr>
      </w:pPr>
      <w:r w:rsidRPr="00791519">
        <w:t>Spáry mezi prefabrikovanými šachtovými dílci budou zamáznuty maltovou směsí (např.</w:t>
      </w:r>
      <w:r w:rsidRPr="00791519">
        <w:rPr>
          <w:rFonts w:cs="Arial Narrow"/>
        </w:rPr>
        <w:t xml:space="preserve"> ERGELIT)</w:t>
      </w:r>
      <w:r w:rsidR="008A6C8E" w:rsidRPr="00791519">
        <w:rPr>
          <w:rFonts w:cs="Arial Narrow"/>
        </w:rPr>
        <w:t>.</w:t>
      </w:r>
    </w:p>
    <w:p w14:paraId="6C0E9409" w14:textId="10D46DAE" w:rsidR="00184BD3" w:rsidRPr="00791519" w:rsidRDefault="00184BD3" w:rsidP="00620E33">
      <w:pPr>
        <w:pStyle w:val="AqpText"/>
        <w:numPr>
          <w:ilvl w:val="0"/>
          <w:numId w:val="10"/>
        </w:numPr>
      </w:pPr>
      <w:r w:rsidRPr="00791519">
        <w:t xml:space="preserve">Těsnění pracovní spáry bude provedeno těsnícími bobtnavými pásky (např. </w:t>
      </w:r>
      <w:r w:rsidRPr="00791519">
        <w:rPr>
          <w:rFonts w:cs="Arial Narrow"/>
        </w:rPr>
        <w:t>SIKA, ADEKA)</w:t>
      </w:r>
      <w:r w:rsidR="008A6C8E" w:rsidRPr="00791519">
        <w:rPr>
          <w:rFonts w:cs="Arial Narrow"/>
        </w:rPr>
        <w:t>.</w:t>
      </w:r>
    </w:p>
    <w:p w14:paraId="0652142F" w14:textId="77777777" w:rsidR="00184BD3" w:rsidRPr="00791519" w:rsidRDefault="00184BD3" w:rsidP="00184BD3">
      <w:pPr>
        <w:pStyle w:val="AqpText"/>
        <w:numPr>
          <w:ilvl w:val="0"/>
          <w:numId w:val="10"/>
        </w:numPr>
      </w:pPr>
      <w:r w:rsidRPr="00791519">
        <w:rPr>
          <w:rFonts w:cs="Arial Narrow"/>
        </w:rPr>
        <w:t>Šachta jako celek bude vodonepropustná.</w:t>
      </w:r>
    </w:p>
    <w:p w14:paraId="15DD0CBE" w14:textId="77777777" w:rsidR="00184BD3" w:rsidRPr="00791519" w:rsidRDefault="007303F2" w:rsidP="007303F2">
      <w:pPr>
        <w:pStyle w:val="Nadpis2"/>
      </w:pPr>
      <w:bookmarkStart w:id="39" w:name="_Toc62201056"/>
      <w:r w:rsidRPr="00791519">
        <w:t>Napojení domovních přípojek a uličních vpustí</w:t>
      </w:r>
      <w:bookmarkEnd w:id="39"/>
    </w:p>
    <w:p w14:paraId="5C3E9B4E" w14:textId="0F5356D2" w:rsidR="00D272AF" w:rsidRPr="00791519" w:rsidRDefault="00D272AF" w:rsidP="00D272AF">
      <w:pPr>
        <w:pStyle w:val="AqpText"/>
      </w:pPr>
      <w:r w:rsidRPr="00791519">
        <w:t>Součástí rekonstrukce stok</w:t>
      </w:r>
      <w:r w:rsidR="007A23BF" w:rsidRPr="00791519">
        <w:t xml:space="preserve"> (SO </w:t>
      </w:r>
      <w:r w:rsidR="0018005B" w:rsidRPr="00791519">
        <w:t>311 Kanalizace</w:t>
      </w:r>
      <w:r w:rsidR="007A23BF" w:rsidRPr="00791519">
        <w:t>)</w:t>
      </w:r>
      <w:r w:rsidRPr="00791519">
        <w:t xml:space="preserve"> </w:t>
      </w:r>
      <w:r w:rsidR="007A23BF" w:rsidRPr="00791519">
        <w:t>jsou</w:t>
      </w:r>
      <w:r w:rsidRPr="00791519">
        <w:t xml:space="preserve"> </w:t>
      </w:r>
      <w:r w:rsidR="007A23BF" w:rsidRPr="00791519">
        <w:t>odbočky</w:t>
      </w:r>
      <w:r w:rsidRPr="00791519">
        <w:t xml:space="preserve"> pro domovní přípojky a uliční vpust</w:t>
      </w:r>
      <w:r w:rsidR="003E6433" w:rsidRPr="00791519">
        <w:t>i.</w:t>
      </w:r>
      <w:r w:rsidRPr="00791519">
        <w:t xml:space="preserve"> </w:t>
      </w:r>
      <w:r w:rsidR="007A23BF" w:rsidRPr="00791519">
        <w:t xml:space="preserve">Domovní přípojky jsou součástí SO </w:t>
      </w:r>
      <w:r w:rsidR="0018005B" w:rsidRPr="00791519">
        <w:t>320 Kanalizační přípojky</w:t>
      </w:r>
      <w:r w:rsidR="007A23BF" w:rsidRPr="00791519">
        <w:t xml:space="preserve"> a uliční vpusti jsou součástí SO </w:t>
      </w:r>
      <w:r w:rsidR="0018005B" w:rsidRPr="00791519">
        <w:t xml:space="preserve">101 </w:t>
      </w:r>
      <w:r w:rsidR="000B390E" w:rsidRPr="00791519">
        <w:t>Obslužná komunikace Gajdošova</w:t>
      </w:r>
      <w:r w:rsidRPr="00791519">
        <w:t>.</w:t>
      </w:r>
      <w:r w:rsidR="00311074" w:rsidRPr="00791519">
        <w:t xml:space="preserve"> </w:t>
      </w:r>
      <w:r w:rsidR="00E12876" w:rsidRPr="00791519">
        <w:t xml:space="preserve">Odbočení je </w:t>
      </w:r>
      <w:r w:rsidR="00593656" w:rsidRPr="00791519">
        <w:t>na stoce „</w:t>
      </w:r>
      <w:r w:rsidR="000B390E" w:rsidRPr="00791519">
        <w:t>Gajdošova</w:t>
      </w:r>
      <w:r w:rsidR="00950B5D" w:rsidRPr="00791519">
        <w:t xml:space="preserve">“ </w:t>
      </w:r>
      <w:r w:rsidR="00E12876" w:rsidRPr="00791519">
        <w:t xml:space="preserve">provedeno jako </w:t>
      </w:r>
      <w:r w:rsidR="000B390E" w:rsidRPr="00791519">
        <w:t>kameninová odbočka 90°</w:t>
      </w:r>
      <w:r w:rsidR="00593656" w:rsidRPr="00791519">
        <w:t>.</w:t>
      </w:r>
    </w:p>
    <w:p w14:paraId="68D8E7B5" w14:textId="77777777" w:rsidR="007303F2" w:rsidRPr="00791519" w:rsidRDefault="007303F2" w:rsidP="007303F2">
      <w:pPr>
        <w:pStyle w:val="Nadpis3"/>
      </w:pPr>
      <w:bookmarkStart w:id="40" w:name="_Toc62201057"/>
      <w:r w:rsidRPr="00791519">
        <w:t>Napojení domovních přípojek</w:t>
      </w:r>
      <w:bookmarkEnd w:id="40"/>
    </w:p>
    <w:p w14:paraId="643E0BEE" w14:textId="247A48BD" w:rsidR="003511B6" w:rsidRPr="00791519" w:rsidRDefault="007303F2" w:rsidP="007303F2">
      <w:pPr>
        <w:pStyle w:val="AqpText"/>
      </w:pPr>
      <w:r w:rsidRPr="00791519">
        <w:t xml:space="preserve">V rámci tohoto stavebního objektu (SO </w:t>
      </w:r>
      <w:r w:rsidR="007239B0" w:rsidRPr="00791519">
        <w:t>310 Kanalizace</w:t>
      </w:r>
      <w:r w:rsidRPr="00791519">
        <w:t>) budou vy</w:t>
      </w:r>
      <w:r w:rsidR="00BF6F4E" w:rsidRPr="00791519">
        <w:t>sazeny odbočky pro nové domovní přípojky:</w:t>
      </w:r>
    </w:p>
    <w:p w14:paraId="3B5C88FF" w14:textId="01B4EEC0" w:rsidR="00593656" w:rsidRPr="00791519" w:rsidRDefault="007239B0" w:rsidP="00593656">
      <w:pPr>
        <w:pStyle w:val="AqpText"/>
        <w:numPr>
          <w:ilvl w:val="0"/>
          <w:numId w:val="21"/>
        </w:numPr>
        <w:tabs>
          <w:tab w:val="left" w:pos="6804"/>
        </w:tabs>
      </w:pPr>
      <w:r w:rsidRPr="00791519">
        <w:t>Odbočka kamenina 90° DN 400/200</w:t>
      </w:r>
      <w:r w:rsidR="00593656" w:rsidRPr="00791519">
        <w:tab/>
      </w:r>
      <w:r w:rsidR="0018005B" w:rsidRPr="00791519">
        <w:t xml:space="preserve">  </w:t>
      </w:r>
      <w:r w:rsidRPr="00791519">
        <w:t>2</w:t>
      </w:r>
      <w:r w:rsidR="00593656" w:rsidRPr="00791519">
        <w:t xml:space="preserve"> ks</w:t>
      </w:r>
    </w:p>
    <w:p w14:paraId="1537FC1E" w14:textId="296AE172" w:rsidR="007239B0" w:rsidRPr="00791519" w:rsidRDefault="007239B0" w:rsidP="00593656">
      <w:pPr>
        <w:pStyle w:val="AqpText"/>
        <w:numPr>
          <w:ilvl w:val="0"/>
          <w:numId w:val="21"/>
        </w:numPr>
        <w:tabs>
          <w:tab w:val="left" w:pos="6804"/>
        </w:tabs>
      </w:pPr>
      <w:r w:rsidRPr="00791519">
        <w:t>Odbočka kamenina 90° DN 400/150</w:t>
      </w:r>
      <w:r w:rsidRPr="00791519">
        <w:tab/>
        <w:t>15 ks</w:t>
      </w:r>
    </w:p>
    <w:p w14:paraId="680068D0" w14:textId="6BD8E4AC" w:rsidR="00593656" w:rsidRPr="00791519" w:rsidRDefault="00593656" w:rsidP="00593656">
      <w:pPr>
        <w:pStyle w:val="AqpText"/>
        <w:numPr>
          <w:ilvl w:val="0"/>
          <w:numId w:val="21"/>
        </w:numPr>
        <w:tabs>
          <w:tab w:val="left" w:pos="6804"/>
        </w:tabs>
      </w:pPr>
      <w:r w:rsidRPr="00791519">
        <w:t>Napojovací element F pro KT potrubí DN 150</w:t>
      </w:r>
      <w:r w:rsidRPr="00791519">
        <w:tab/>
      </w:r>
      <w:r w:rsidR="007239B0" w:rsidRPr="00791519">
        <w:t xml:space="preserve">  1</w:t>
      </w:r>
      <w:r w:rsidRPr="00791519">
        <w:t xml:space="preserve"> ks</w:t>
      </w:r>
    </w:p>
    <w:p w14:paraId="3FB47681" w14:textId="77777777" w:rsidR="003511B6" w:rsidRPr="00791519" w:rsidRDefault="003511B6" w:rsidP="003511B6">
      <w:pPr>
        <w:pStyle w:val="Nadpis3"/>
      </w:pPr>
      <w:bookmarkStart w:id="41" w:name="_Toc62201058"/>
      <w:r w:rsidRPr="00791519">
        <w:t>Napojení uličních vpustí</w:t>
      </w:r>
      <w:bookmarkEnd w:id="41"/>
    </w:p>
    <w:p w14:paraId="09330BE2" w14:textId="25DC36E2" w:rsidR="009875DC" w:rsidRPr="00791519" w:rsidRDefault="00533C8E" w:rsidP="00184BD3">
      <w:pPr>
        <w:pStyle w:val="AqpText"/>
      </w:pPr>
      <w:r w:rsidRPr="00791519">
        <w:t xml:space="preserve">V rámci tohoto stavebního objektu (SO </w:t>
      </w:r>
      <w:r w:rsidR="0018005B" w:rsidRPr="00791519">
        <w:t>31</w:t>
      </w:r>
      <w:r w:rsidR="007239B0" w:rsidRPr="00791519">
        <w:t>0</w:t>
      </w:r>
      <w:r w:rsidR="0018005B" w:rsidRPr="00791519">
        <w:t xml:space="preserve"> Kanalizace</w:t>
      </w:r>
      <w:r w:rsidRPr="00791519">
        <w:t xml:space="preserve">) budou vysazeny odbočky pro </w:t>
      </w:r>
      <w:r w:rsidR="00FC131E" w:rsidRPr="00791519">
        <w:t>obnovované</w:t>
      </w:r>
      <w:r w:rsidRPr="00791519">
        <w:t xml:space="preserve"> uliční vpusti</w:t>
      </w:r>
      <w:r w:rsidR="003F6133" w:rsidRPr="00791519">
        <w:t xml:space="preserve"> a žlaby</w:t>
      </w:r>
      <w:r w:rsidRPr="00791519">
        <w:t>:</w:t>
      </w:r>
    </w:p>
    <w:p w14:paraId="065B887D" w14:textId="3E537522" w:rsidR="00593656" w:rsidRPr="00791519" w:rsidRDefault="00DE5DED" w:rsidP="00593656">
      <w:pPr>
        <w:pStyle w:val="AqpText"/>
        <w:numPr>
          <w:ilvl w:val="0"/>
          <w:numId w:val="36"/>
        </w:numPr>
        <w:tabs>
          <w:tab w:val="left" w:pos="6804"/>
        </w:tabs>
      </w:pPr>
      <w:r w:rsidRPr="00791519">
        <w:t>Odbočka kamenina 90° DN 400/150</w:t>
      </w:r>
      <w:r w:rsidR="00593656" w:rsidRPr="00791519">
        <w:tab/>
      </w:r>
      <w:r w:rsidRPr="00791519">
        <w:t xml:space="preserve">  9</w:t>
      </w:r>
      <w:r w:rsidR="00593656" w:rsidRPr="00791519">
        <w:t xml:space="preserve"> ks</w:t>
      </w:r>
    </w:p>
    <w:p w14:paraId="2A2DA8E3" w14:textId="77777777" w:rsidR="009875DC" w:rsidRPr="00791519" w:rsidRDefault="009875DC" w:rsidP="009875DC">
      <w:pPr>
        <w:pStyle w:val="Nadpis2"/>
      </w:pPr>
      <w:bookmarkStart w:id="42" w:name="_Toc62201059"/>
      <w:r w:rsidRPr="00791519">
        <w:t>Potrubí</w:t>
      </w:r>
      <w:bookmarkEnd w:id="42"/>
    </w:p>
    <w:p w14:paraId="34B4D898" w14:textId="228DFE62" w:rsidR="007D34AB" w:rsidRPr="00791519" w:rsidRDefault="007D34AB" w:rsidP="009875DC">
      <w:pPr>
        <w:pStyle w:val="AqpText"/>
      </w:pPr>
      <w:r w:rsidRPr="00791519">
        <w:t>Na sto</w:t>
      </w:r>
      <w:r w:rsidR="00F807A9" w:rsidRPr="00791519">
        <w:t>kách</w:t>
      </w:r>
      <w:r w:rsidRPr="00791519">
        <w:t xml:space="preserve"> „</w:t>
      </w:r>
      <w:r w:rsidR="00F807A9" w:rsidRPr="00791519">
        <w:t>Gajdošova (obsl. kom.) 1. i 2. část</w:t>
      </w:r>
      <w:r w:rsidRPr="00791519">
        <w:t xml:space="preserve">“ je navrženo </w:t>
      </w:r>
      <w:r w:rsidR="00F807A9" w:rsidRPr="00791519">
        <w:t>kameninové</w:t>
      </w:r>
      <w:r w:rsidRPr="00791519">
        <w:t xml:space="preserve"> potrubí </w:t>
      </w:r>
      <w:r w:rsidR="0053773E" w:rsidRPr="00791519">
        <w:t>kruhového</w:t>
      </w:r>
      <w:r w:rsidRPr="00791519">
        <w:t xml:space="preserve"> profilu DN</w:t>
      </w:r>
      <w:r w:rsidR="0053773E" w:rsidRPr="00791519">
        <w:t xml:space="preserve"> </w:t>
      </w:r>
      <w:r w:rsidR="00F807A9" w:rsidRPr="00791519">
        <w:t>4</w:t>
      </w:r>
      <w:r w:rsidR="0053773E" w:rsidRPr="00791519">
        <w:t>00</w:t>
      </w:r>
      <w:r w:rsidR="00F807A9" w:rsidRPr="00791519">
        <w:t xml:space="preserve"> se spojovacím systémem C (typ S – zabrušovaný), pevnostní třídy 160 – </w:t>
      </w:r>
      <w:r w:rsidR="0053773E" w:rsidRPr="00791519">
        <w:t>celkov</w:t>
      </w:r>
      <w:r w:rsidR="00F807A9" w:rsidRPr="00791519">
        <w:t>á</w:t>
      </w:r>
      <w:r w:rsidR="0053773E" w:rsidRPr="00791519">
        <w:t xml:space="preserve"> dél</w:t>
      </w:r>
      <w:r w:rsidR="00F807A9" w:rsidRPr="00791519">
        <w:t>ka</w:t>
      </w:r>
      <w:r w:rsidR="0053773E" w:rsidRPr="00791519">
        <w:t xml:space="preserve"> </w:t>
      </w:r>
      <w:r w:rsidR="00F807A9" w:rsidRPr="00791519">
        <w:t>198</w:t>
      </w:r>
      <w:r w:rsidR="0053773E" w:rsidRPr="00791519">
        <w:t>,</w:t>
      </w:r>
      <w:r w:rsidR="00F807A9" w:rsidRPr="00791519">
        <w:t>90</w:t>
      </w:r>
      <w:r w:rsidR="0053773E" w:rsidRPr="00791519">
        <w:t xml:space="preserve"> m.</w:t>
      </w:r>
    </w:p>
    <w:p w14:paraId="0DB3E7FB" w14:textId="0AAFEC6D" w:rsidR="0053773E" w:rsidRPr="00791519" w:rsidRDefault="0053773E" w:rsidP="009875DC">
      <w:pPr>
        <w:pStyle w:val="AqpText"/>
      </w:pPr>
      <w:r w:rsidRPr="00791519">
        <w:t>Na propoji „</w:t>
      </w:r>
      <w:r w:rsidR="00F807A9" w:rsidRPr="00791519">
        <w:t>dešťová kanalizace</w:t>
      </w:r>
      <w:r w:rsidRPr="00791519">
        <w:t xml:space="preserve">“ je navrženo </w:t>
      </w:r>
      <w:r w:rsidR="00F807A9" w:rsidRPr="00791519">
        <w:t>kameninové</w:t>
      </w:r>
      <w:r w:rsidRPr="00791519">
        <w:t xml:space="preserve"> potrubí </w:t>
      </w:r>
      <w:r w:rsidR="00F807A9" w:rsidRPr="00791519">
        <w:t>kruhového</w:t>
      </w:r>
      <w:r w:rsidRPr="00791519">
        <w:t xml:space="preserve"> profilu DN </w:t>
      </w:r>
      <w:r w:rsidR="00F807A9" w:rsidRPr="00791519">
        <w:t>30</w:t>
      </w:r>
      <w:r w:rsidRPr="00791519">
        <w:t>0</w:t>
      </w:r>
      <w:r w:rsidR="00F807A9" w:rsidRPr="00791519">
        <w:t xml:space="preserve"> se spojovacím systémem C (typ S – zabrušovaný), pevnostní třídy 160 – </w:t>
      </w:r>
      <w:r w:rsidRPr="00791519">
        <w:t>celkov</w:t>
      </w:r>
      <w:r w:rsidR="00F807A9" w:rsidRPr="00791519">
        <w:t>á</w:t>
      </w:r>
      <w:r w:rsidRPr="00791519">
        <w:t xml:space="preserve"> dél</w:t>
      </w:r>
      <w:r w:rsidR="00F807A9" w:rsidRPr="00791519">
        <w:t>ka</w:t>
      </w:r>
      <w:r w:rsidRPr="00791519">
        <w:t xml:space="preserve"> </w:t>
      </w:r>
      <w:r w:rsidR="00F807A9" w:rsidRPr="00791519">
        <w:t>13</w:t>
      </w:r>
      <w:r w:rsidRPr="00791519">
        <w:t>,00 m.</w:t>
      </w:r>
    </w:p>
    <w:p w14:paraId="29E2A5C2" w14:textId="2E6AC945" w:rsidR="00551E29" w:rsidRPr="00791519" w:rsidRDefault="00732BC0" w:rsidP="00A92FA1">
      <w:pPr>
        <w:pStyle w:val="AqpText"/>
      </w:pPr>
      <w:r w:rsidRPr="00791519">
        <w:t xml:space="preserve">Materiál je navržen v souladu s brněnskými kanalizačními standardy. </w:t>
      </w:r>
      <w:r w:rsidR="006246E7" w:rsidRPr="00791519">
        <w:t xml:space="preserve">Dno rýhy bude srovnáno štěrkovým podsypem (frakce 16 – 32 mm) tloušťky 10 cm, na který bude dán podkladní beton tloušťky 10 cm. </w:t>
      </w:r>
      <w:r w:rsidR="00F807A9" w:rsidRPr="00791519">
        <w:t>Kameninové potrubí bude umístěno na betonové pražce. Musí být obetonováno dle rozměrů uvedených ve vzorovém příčném řezu uložení KT potrubí – příloha D.1.7.1.</w:t>
      </w:r>
    </w:p>
    <w:p w14:paraId="76FDDA9D" w14:textId="77777777" w:rsidR="00B56AA0" w:rsidRPr="00791519" w:rsidRDefault="00576657" w:rsidP="00A92FA1">
      <w:pPr>
        <w:pStyle w:val="AqpText"/>
      </w:pPr>
      <w:r w:rsidRPr="00791519">
        <w:t>Pro převedení splaškových vod během stavby je navrženo d</w:t>
      </w:r>
      <w:r w:rsidR="00B56AA0" w:rsidRPr="00791519">
        <w:t xml:space="preserve">očasné provizorní potrubí </w:t>
      </w:r>
      <w:r w:rsidRPr="00791519">
        <w:t xml:space="preserve">PVC DN </w:t>
      </w:r>
      <w:r w:rsidR="00733E39" w:rsidRPr="00791519">
        <w:t>30</w:t>
      </w:r>
      <w:r w:rsidRPr="00791519">
        <w:t xml:space="preserve">0 délky </w:t>
      </w:r>
      <w:r w:rsidR="00373C0E" w:rsidRPr="00791519">
        <w:t>6</w:t>
      </w:r>
      <w:r w:rsidRPr="00791519">
        <w:t>,0 m.</w:t>
      </w:r>
    </w:p>
    <w:p w14:paraId="03B8C2C2" w14:textId="77777777" w:rsidR="007303F2" w:rsidRPr="00791519" w:rsidRDefault="009875DC" w:rsidP="009875DC">
      <w:pPr>
        <w:pStyle w:val="Nadpis2"/>
      </w:pPr>
      <w:bookmarkStart w:id="43" w:name="_Toc62201060"/>
      <w:r w:rsidRPr="00791519">
        <w:lastRenderedPageBreak/>
        <w:t>Dotčení inženýrských sítí a ochranných pásem</w:t>
      </w:r>
      <w:bookmarkEnd w:id="43"/>
    </w:p>
    <w:p w14:paraId="62143A8E" w14:textId="62719E30" w:rsidR="00816613" w:rsidRPr="00791519" w:rsidRDefault="009875DC" w:rsidP="009875DC">
      <w:pPr>
        <w:pStyle w:val="AqpText"/>
      </w:pPr>
      <w:r w:rsidRPr="00791519">
        <w:t>Dotčené inženýrské sítě jsou zakresleny v</w:t>
      </w:r>
      <w:r w:rsidR="00816613" w:rsidRPr="00791519">
        <w:t> příslušn</w:t>
      </w:r>
      <w:r w:rsidR="00CF3B1F" w:rsidRPr="00791519">
        <w:t>ých</w:t>
      </w:r>
      <w:r w:rsidR="00816613" w:rsidRPr="00791519">
        <w:t xml:space="preserve"> </w:t>
      </w:r>
      <w:r w:rsidRPr="00791519">
        <w:t>situac</w:t>
      </w:r>
      <w:r w:rsidR="00CF3B1F" w:rsidRPr="00791519">
        <w:t>ích</w:t>
      </w:r>
      <w:r w:rsidR="00816613" w:rsidRPr="00791519">
        <w:t xml:space="preserve"> (příloha D.1.2)</w:t>
      </w:r>
      <w:r w:rsidRPr="00791519">
        <w:t xml:space="preserve">. Poloha inženýrských sítí je zakreslena pouze s přesností odpovídající použité technické metodě a úrovni podkladů (3. třída). Možné odchylky jsou </w:t>
      </w:r>
      <w:r w:rsidRPr="00791519">
        <w:sym w:font="Symbol" w:char="F0B1"/>
      </w:r>
      <w:r w:rsidRPr="00791519">
        <w:t>0</w:t>
      </w:r>
      <w:r w:rsidR="00816613" w:rsidRPr="00791519">
        <w:t>,</w:t>
      </w:r>
      <w:r w:rsidRPr="00791519">
        <w:t xml:space="preserve">30 m na obě strany. Před zahájením stavby je proto nezbytné zajistit vytýčení jednotlivých IS příslušnými správci. </w:t>
      </w:r>
      <w:r w:rsidR="0053773E" w:rsidRPr="00791519">
        <w:br/>
      </w:r>
      <w:r w:rsidRPr="00791519">
        <w:t>V případě jakýchkoliv změn přesahujících hodnotu výše uvedené o</w:t>
      </w:r>
      <w:r w:rsidR="00CF3B1F" w:rsidRPr="00791519">
        <w:t xml:space="preserve">dchylky je nutno ihned zastavit </w:t>
      </w:r>
      <w:r w:rsidRPr="00791519">
        <w:t xml:space="preserve">práce </w:t>
      </w:r>
      <w:r w:rsidR="00952DBA" w:rsidRPr="00791519">
        <w:br/>
      </w:r>
      <w:r w:rsidRPr="00791519">
        <w:t>a informovat investora i projektanta a dohodnout další postup. Při zemních pracích je bezpodmínečně nutné respektovat požadavky příslušných správců IS.</w:t>
      </w:r>
    </w:p>
    <w:p w14:paraId="3D174EA0" w14:textId="77777777" w:rsidR="005C033E" w:rsidRPr="00791519" w:rsidRDefault="005C033E" w:rsidP="00A92FA1">
      <w:pPr>
        <w:pStyle w:val="Nadpis2"/>
      </w:pPr>
      <w:bookmarkStart w:id="44" w:name="_Toc62201061"/>
      <w:r w:rsidRPr="00791519">
        <w:t>Požadavky na kvalitu provedení</w:t>
      </w:r>
      <w:bookmarkEnd w:id="44"/>
    </w:p>
    <w:p w14:paraId="42301F53" w14:textId="77777777" w:rsidR="00E70311" w:rsidRPr="00791519" w:rsidRDefault="005C033E" w:rsidP="00E70311">
      <w:pPr>
        <w:pStyle w:val="AqpText"/>
      </w:pPr>
      <w:r w:rsidRPr="00791519">
        <w:t>Navržen</w:t>
      </w:r>
      <w:r w:rsidR="00CF3B1F" w:rsidRPr="00791519">
        <w:t>é</w:t>
      </w:r>
      <w:r w:rsidRPr="00791519">
        <w:t xml:space="preserve"> stok</w:t>
      </w:r>
      <w:r w:rsidR="00CF3B1F" w:rsidRPr="00791519">
        <w:t>y</w:t>
      </w:r>
      <w:r w:rsidRPr="00791519">
        <w:t xml:space="preserve"> musí být proveden</w:t>
      </w:r>
      <w:r w:rsidR="00CF3B1F" w:rsidRPr="00791519">
        <w:t>y</w:t>
      </w:r>
      <w:r w:rsidRPr="00791519">
        <w:t xml:space="preserve"> v nejvyšší kvalitě. Na stavbu je možno použít pouze typy potrubí předepsané projektem a v nejvyšší jakostní třídě. Před uložením potrubí do rýhy je nutno provést vizuální kontrolu kvality povrchu potrubí. Nelze připustit použití potrubí se zjevnými povrchovými vadami, které by mohly ohrozit statickou pevnost potrubí nebo jeho funkčnost.</w:t>
      </w:r>
      <w:r w:rsidR="00E70311" w:rsidRPr="00791519">
        <w:t xml:space="preserve"> Po uložení potrubí bude provedena kontrola TV kamerou.</w:t>
      </w:r>
    </w:p>
    <w:p w14:paraId="4B2E8CC4" w14:textId="77777777" w:rsidR="005C033E" w:rsidRPr="00791519" w:rsidRDefault="005C033E" w:rsidP="00A92FA1">
      <w:pPr>
        <w:pStyle w:val="Nadpis2"/>
      </w:pPr>
      <w:bookmarkStart w:id="45" w:name="_Toc62201062"/>
      <w:r w:rsidRPr="00791519">
        <w:t>Zkouška vodotěsnosti</w:t>
      </w:r>
      <w:bookmarkEnd w:id="45"/>
    </w:p>
    <w:p w14:paraId="53DB1E55" w14:textId="77777777" w:rsidR="005C033E" w:rsidRPr="00791519" w:rsidRDefault="005C033E" w:rsidP="005C033E">
      <w:pPr>
        <w:pStyle w:val="AqpText"/>
      </w:pPr>
      <w:r w:rsidRPr="00791519">
        <w:t>Zkoušky vodotěsnosti budou provedeny na všech úsecích stokové sítě ještě před napojením přípojek. Vlastní zkouška bude provedena dle ČSN EN 1610 (Provádění stok a kanalizačních přípojek a jejich zkoušení).</w:t>
      </w:r>
    </w:p>
    <w:p w14:paraId="182788A2" w14:textId="77777777" w:rsidR="005C033E" w:rsidRPr="00791519" w:rsidRDefault="005C033E" w:rsidP="005C033E">
      <w:pPr>
        <w:pStyle w:val="AqpText"/>
      </w:pPr>
      <w:r w:rsidRPr="00791519">
        <w:t>Při negativním výsledku zkoušky je nutné zkoušku po odstranění závad (netěsností) opakovat. O výsledku zkoušky vodotěsnosti kanalizace nebo jejích části se provede záznam.</w:t>
      </w:r>
    </w:p>
    <w:p w14:paraId="3FB17BF4" w14:textId="77777777" w:rsidR="005C033E" w:rsidRPr="00791519" w:rsidRDefault="005C033E" w:rsidP="00A92FA1">
      <w:pPr>
        <w:pStyle w:val="Nadpis2"/>
      </w:pPr>
      <w:bookmarkStart w:id="46" w:name="_Toc62201063"/>
      <w:r w:rsidRPr="00791519">
        <w:t>Úprava režimu povrchových a podzemních vod a čerpání</w:t>
      </w:r>
      <w:bookmarkEnd w:id="46"/>
    </w:p>
    <w:p w14:paraId="16ED15F6" w14:textId="06D33D90" w:rsidR="00BD0361" w:rsidRPr="00791519" w:rsidRDefault="005C033E" w:rsidP="005C033E">
      <w:pPr>
        <w:pStyle w:val="AqpText"/>
      </w:pPr>
      <w:r w:rsidRPr="00791519">
        <w:t xml:space="preserve">Ustálená hladina podzemní vody se dle provedeného průzkumu v místě stavby </w:t>
      </w:r>
      <w:r w:rsidR="00992BDB" w:rsidRPr="00791519">
        <w:t>ne</w:t>
      </w:r>
      <w:r w:rsidRPr="00791519">
        <w:t>vyskytuje. Během stavby však nelze vyloučit možnost přítoku srážkových vod buď přímým spadem</w:t>
      </w:r>
      <w:r w:rsidR="00A92FA1" w:rsidRPr="00791519">
        <w:t>,</w:t>
      </w:r>
      <w:r w:rsidRPr="00791519">
        <w:t xml:space="preserve"> nebo odtokem z okolního povrchu, a proto je třeba udržovat vždy volný odtok směrem k přerušenému potrubí, aby mohla srážková voda odtékat volně ze staveniště. </w:t>
      </w:r>
      <w:r w:rsidR="00BD0361" w:rsidRPr="00791519">
        <w:t>Výkop musí být ochráněn proti nátoku dešťových vod hrázkami. Uliční vpusti budou po dobu stavby ucpány.</w:t>
      </w:r>
    </w:p>
    <w:p w14:paraId="5DBC494A" w14:textId="4991D731" w:rsidR="004B5019" w:rsidRPr="00791519" w:rsidRDefault="004B5019" w:rsidP="005C033E">
      <w:pPr>
        <w:pStyle w:val="AqpText"/>
      </w:pPr>
      <w:r w:rsidRPr="00791519">
        <w:t xml:space="preserve">Rekonstruované potrubí bude v pracovní době ucpáno nafukovacím vakem v šachtě nad realizovaným úsekem. Splašková voda bude z této šachty čerpána do nejbližší níže položené šachty. Po skončení pracovní doby bude v právě rekonstruovaném úseku položeno provizorní potrubí a ucpání bude odstraněno. </w:t>
      </w:r>
    </w:p>
    <w:p w14:paraId="20703B70" w14:textId="62BEA804" w:rsidR="00D80075" w:rsidRPr="00791519" w:rsidRDefault="00B11DBC" w:rsidP="00D80075">
      <w:pPr>
        <w:pStyle w:val="AqpText"/>
      </w:pPr>
      <w:r w:rsidRPr="00791519">
        <w:t xml:space="preserve">Celková doba čerpání </w:t>
      </w:r>
      <w:r w:rsidR="003F00E0" w:rsidRPr="00791519">
        <w:t xml:space="preserve">splaškových vod </w:t>
      </w:r>
      <w:r w:rsidRPr="00791519">
        <w:t xml:space="preserve">se </w:t>
      </w:r>
      <w:r w:rsidR="00C310FA" w:rsidRPr="00791519">
        <w:t xml:space="preserve">tedy </w:t>
      </w:r>
      <w:r w:rsidRPr="00791519">
        <w:t xml:space="preserve">uvažuje </w:t>
      </w:r>
      <w:r w:rsidR="00992BDB" w:rsidRPr="00791519">
        <w:t>9</w:t>
      </w:r>
      <w:r w:rsidR="009C1C4B" w:rsidRPr="00791519">
        <w:t>0</w:t>
      </w:r>
      <w:r w:rsidRPr="00791519">
        <w:t xml:space="preserve">0 hod, průměrný přítok do 500 l/min a výška do 10 m. </w:t>
      </w:r>
      <w:r w:rsidR="00B0374C" w:rsidRPr="00791519">
        <w:t xml:space="preserve">Čerpání vody z přívalových dešťů se uvažuje 60 hod, průměrný přítok 500 l/min a výška do 10 m. </w:t>
      </w:r>
      <w:r w:rsidR="00EE7AF7" w:rsidRPr="00791519">
        <w:t>Čerpaní kanalizačních přípojek v řešeném úseku je popsáno v příloze D.2.1.</w:t>
      </w:r>
    </w:p>
    <w:p w14:paraId="0CA4EC97" w14:textId="77777777" w:rsidR="00774674" w:rsidRPr="00791519" w:rsidRDefault="00774674" w:rsidP="00774674">
      <w:pPr>
        <w:pStyle w:val="Nadpis2"/>
      </w:pPr>
      <w:bookmarkStart w:id="47" w:name="_Toc62201064"/>
      <w:r w:rsidRPr="00791519">
        <w:t>Rušení stávajících stok a objektů</w:t>
      </w:r>
      <w:bookmarkEnd w:id="47"/>
    </w:p>
    <w:p w14:paraId="2E151979" w14:textId="77777777" w:rsidR="00774674" w:rsidRPr="00791519" w:rsidRDefault="00774674" w:rsidP="00774674">
      <w:pPr>
        <w:pStyle w:val="Nadpis3"/>
      </w:pPr>
      <w:bookmarkStart w:id="48" w:name="_Toc62201065"/>
      <w:r w:rsidRPr="00791519">
        <w:t>Likvidované stoky</w:t>
      </w:r>
      <w:bookmarkEnd w:id="48"/>
    </w:p>
    <w:p w14:paraId="7A7F0EC5" w14:textId="77777777" w:rsidR="00D21412" w:rsidRPr="00791519" w:rsidRDefault="00D21412" w:rsidP="00D21412">
      <w:pPr>
        <w:pStyle w:val="AqpText"/>
      </w:pPr>
      <w:r w:rsidRPr="00791519">
        <w:t>Likvidace stávající stok</w:t>
      </w:r>
      <w:r w:rsidR="004C3BFE" w:rsidRPr="00791519">
        <w:t>y je</w:t>
      </w:r>
      <w:r w:rsidRPr="00791519">
        <w:t xml:space="preserve"> navržena takto:</w:t>
      </w:r>
    </w:p>
    <w:p w14:paraId="77669745" w14:textId="77777777" w:rsidR="00D21412" w:rsidRPr="00791519" w:rsidRDefault="00D21412" w:rsidP="00D21412">
      <w:pPr>
        <w:pStyle w:val="AqpText"/>
        <w:numPr>
          <w:ilvl w:val="0"/>
          <w:numId w:val="11"/>
        </w:numPr>
      </w:pPr>
      <w:r w:rsidRPr="00791519">
        <w:t>Stávající stok</w:t>
      </w:r>
      <w:r w:rsidR="004C3BFE" w:rsidRPr="00791519">
        <w:t>a</w:t>
      </w:r>
      <w:r w:rsidR="002A42F0" w:rsidRPr="00791519">
        <w:t>, která se nachází</w:t>
      </w:r>
      <w:r w:rsidRPr="00791519">
        <w:t xml:space="preserve"> v tras</w:t>
      </w:r>
      <w:r w:rsidR="004C3BFE" w:rsidRPr="00791519">
        <w:t>e</w:t>
      </w:r>
      <w:r w:rsidRPr="00791519">
        <w:t xml:space="preserve"> nově navr</w:t>
      </w:r>
      <w:r w:rsidR="004C3BFE" w:rsidRPr="00791519">
        <w:t>žené</w:t>
      </w:r>
      <w:r w:rsidRPr="00791519">
        <w:t xml:space="preserve"> stok</w:t>
      </w:r>
      <w:r w:rsidR="004C3BFE" w:rsidRPr="00791519">
        <w:t>y</w:t>
      </w:r>
      <w:r w:rsidRPr="00791519">
        <w:t xml:space="preserve"> </w:t>
      </w:r>
      <w:r w:rsidR="002A42F0" w:rsidRPr="00791519">
        <w:t xml:space="preserve">nebo v místě výkopu, </w:t>
      </w:r>
      <w:r w:rsidR="005A5433" w:rsidRPr="00791519">
        <w:t>bud</w:t>
      </w:r>
      <w:r w:rsidR="004C3BFE" w:rsidRPr="00791519">
        <w:t>e</w:t>
      </w:r>
      <w:r w:rsidRPr="00791519">
        <w:t xml:space="preserve"> fyzicky odstraněn</w:t>
      </w:r>
      <w:r w:rsidR="004C3BFE" w:rsidRPr="00791519">
        <w:t>a</w:t>
      </w:r>
      <w:r w:rsidRPr="00791519">
        <w:t xml:space="preserve"> – vykopán</w:t>
      </w:r>
      <w:r w:rsidR="004C3BFE" w:rsidRPr="00791519">
        <w:t>a</w:t>
      </w:r>
      <w:r w:rsidRPr="00791519">
        <w:t xml:space="preserve"> ze země, odvezen</w:t>
      </w:r>
      <w:r w:rsidR="004C3BFE" w:rsidRPr="00791519">
        <w:t>a</w:t>
      </w:r>
      <w:r w:rsidRPr="00791519">
        <w:t xml:space="preserve"> a uložen</w:t>
      </w:r>
      <w:r w:rsidR="004C3BFE" w:rsidRPr="00791519">
        <w:t>a</w:t>
      </w:r>
      <w:r w:rsidRPr="00791519">
        <w:t xml:space="preserve"> na skládku.</w:t>
      </w:r>
    </w:p>
    <w:p w14:paraId="0EE25A0F" w14:textId="7A478CD9" w:rsidR="008B5871" w:rsidRDefault="00D21412" w:rsidP="008B5871">
      <w:pPr>
        <w:pStyle w:val="AqpText"/>
        <w:numPr>
          <w:ilvl w:val="0"/>
          <w:numId w:val="11"/>
        </w:numPr>
      </w:pPr>
      <w:r w:rsidRPr="00791519">
        <w:lastRenderedPageBreak/>
        <w:t>Stávající stok</w:t>
      </w:r>
      <w:r w:rsidR="004C3BFE" w:rsidRPr="00791519">
        <w:t>a</w:t>
      </w:r>
      <w:r w:rsidR="002A42F0" w:rsidRPr="00791519">
        <w:t xml:space="preserve">, která se nachází </w:t>
      </w:r>
      <w:r w:rsidRPr="00791519">
        <w:t>mimo tras</w:t>
      </w:r>
      <w:r w:rsidR="004C3BFE" w:rsidRPr="00791519">
        <w:t>u nově navržené</w:t>
      </w:r>
      <w:r w:rsidRPr="00791519">
        <w:t xml:space="preserve"> stok</w:t>
      </w:r>
      <w:r w:rsidR="004C3BFE" w:rsidRPr="00791519">
        <w:t>y</w:t>
      </w:r>
      <w:r w:rsidRPr="00791519">
        <w:t xml:space="preserve"> </w:t>
      </w:r>
      <w:r w:rsidR="008F4A86" w:rsidRPr="00791519">
        <w:t>a</w:t>
      </w:r>
      <w:r w:rsidR="002A42F0" w:rsidRPr="00791519">
        <w:t xml:space="preserve"> mimo výkop, </w:t>
      </w:r>
      <w:r w:rsidR="005A5433" w:rsidRPr="00791519">
        <w:t>bud</w:t>
      </w:r>
      <w:r w:rsidR="004C3BFE" w:rsidRPr="00791519">
        <w:t>e</w:t>
      </w:r>
      <w:r w:rsidRPr="00791519">
        <w:t xml:space="preserve"> ponechán</w:t>
      </w:r>
      <w:r w:rsidR="004C3BFE" w:rsidRPr="00791519">
        <w:t>a</w:t>
      </w:r>
      <w:r w:rsidRPr="00791519">
        <w:t xml:space="preserve"> v zemi </w:t>
      </w:r>
      <w:r w:rsidR="00AE4B6D" w:rsidRPr="00791519">
        <w:br/>
      </w:r>
      <w:r w:rsidRPr="00791519">
        <w:t>a vyplněn</w:t>
      </w:r>
      <w:r w:rsidR="004C3BFE" w:rsidRPr="00791519">
        <w:t>a</w:t>
      </w:r>
      <w:r w:rsidRPr="00791519">
        <w:t xml:space="preserve"> cemento</w:t>
      </w:r>
      <w:r w:rsidR="00B454F1" w:rsidRPr="00791519">
        <w:t>popílkovou směsí (KOPOS).</w:t>
      </w:r>
    </w:p>
    <w:p w14:paraId="25F356B2" w14:textId="77777777" w:rsidR="00791519" w:rsidRPr="00791519" w:rsidRDefault="00791519" w:rsidP="00791519">
      <w:pPr>
        <w:pStyle w:val="AqpText"/>
      </w:pPr>
    </w:p>
    <w:tbl>
      <w:tblPr>
        <w:tblW w:w="7670" w:type="dxa"/>
        <w:tblInd w:w="55" w:type="dxa"/>
        <w:tblLayout w:type="fixed"/>
        <w:tblCellMar>
          <w:left w:w="70" w:type="dxa"/>
          <w:right w:w="70" w:type="dxa"/>
        </w:tblCellMar>
        <w:tblLook w:val="00A0" w:firstRow="1" w:lastRow="0" w:firstColumn="1" w:lastColumn="0" w:noHBand="0" w:noVBand="0"/>
      </w:tblPr>
      <w:tblGrid>
        <w:gridCol w:w="2618"/>
        <w:gridCol w:w="1316"/>
        <w:gridCol w:w="1326"/>
        <w:gridCol w:w="1174"/>
        <w:gridCol w:w="1236"/>
      </w:tblGrid>
      <w:tr w:rsidR="00B747C5" w:rsidRPr="00791519" w14:paraId="12EB5F7F" w14:textId="77777777" w:rsidTr="00007F12">
        <w:trPr>
          <w:trHeight w:val="300"/>
        </w:trPr>
        <w:tc>
          <w:tcPr>
            <w:tcW w:w="2618" w:type="dxa"/>
            <w:vMerge w:val="restart"/>
            <w:tcBorders>
              <w:top w:val="single" w:sz="12" w:space="0" w:color="auto"/>
              <w:left w:val="single" w:sz="12" w:space="0" w:color="auto"/>
              <w:bottom w:val="single" w:sz="8" w:space="0" w:color="000000"/>
              <w:right w:val="single" w:sz="12" w:space="0" w:color="auto"/>
            </w:tcBorders>
            <w:shd w:val="clear" w:color="000000" w:fill="D7E4BC"/>
            <w:noWrap/>
            <w:vAlign w:val="center"/>
          </w:tcPr>
          <w:p w14:paraId="1CA5AC0C" w14:textId="77777777" w:rsidR="00007F12" w:rsidRPr="00791519" w:rsidRDefault="00007F12" w:rsidP="007A739F">
            <w:pPr>
              <w:spacing w:line="20" w:lineRule="atLeast"/>
              <w:rPr>
                <w:rFonts w:cs="Times New Roman"/>
                <w:b/>
                <w:szCs w:val="22"/>
              </w:rPr>
            </w:pPr>
            <w:r w:rsidRPr="00791519">
              <w:rPr>
                <w:rFonts w:cs="Times New Roman"/>
                <w:b/>
                <w:szCs w:val="22"/>
              </w:rPr>
              <w:t>Název stoky</w:t>
            </w:r>
          </w:p>
        </w:tc>
        <w:tc>
          <w:tcPr>
            <w:tcW w:w="2642" w:type="dxa"/>
            <w:gridSpan w:val="2"/>
            <w:tcBorders>
              <w:top w:val="single" w:sz="12" w:space="0" w:color="auto"/>
              <w:left w:val="single" w:sz="12" w:space="0" w:color="auto"/>
              <w:bottom w:val="single" w:sz="4" w:space="0" w:color="auto"/>
              <w:right w:val="single" w:sz="12" w:space="0" w:color="auto"/>
            </w:tcBorders>
            <w:shd w:val="clear" w:color="000000" w:fill="D7E4BC"/>
            <w:vAlign w:val="center"/>
          </w:tcPr>
          <w:p w14:paraId="725E39AA" w14:textId="4B1334DA" w:rsidR="00007F12" w:rsidRPr="00791519" w:rsidRDefault="00007F12" w:rsidP="007A739F">
            <w:pPr>
              <w:spacing w:line="20" w:lineRule="atLeast"/>
              <w:jc w:val="center"/>
              <w:rPr>
                <w:rFonts w:cs="Times New Roman"/>
                <w:b/>
                <w:szCs w:val="22"/>
              </w:rPr>
            </w:pPr>
            <w:r w:rsidRPr="00791519">
              <w:rPr>
                <w:rFonts w:cs="Times New Roman"/>
                <w:b/>
                <w:szCs w:val="22"/>
              </w:rPr>
              <w:t>Bourání</w:t>
            </w:r>
          </w:p>
        </w:tc>
        <w:tc>
          <w:tcPr>
            <w:tcW w:w="2410" w:type="dxa"/>
            <w:gridSpan w:val="2"/>
            <w:tcBorders>
              <w:top w:val="single" w:sz="12" w:space="0" w:color="auto"/>
              <w:left w:val="single" w:sz="12" w:space="0" w:color="auto"/>
              <w:bottom w:val="single" w:sz="4" w:space="0" w:color="auto"/>
              <w:right w:val="single" w:sz="12" w:space="0" w:color="auto"/>
            </w:tcBorders>
            <w:shd w:val="clear" w:color="000000" w:fill="D7E4BC"/>
            <w:vAlign w:val="center"/>
          </w:tcPr>
          <w:p w14:paraId="389A4F92" w14:textId="77777777" w:rsidR="00007F12" w:rsidRPr="00791519" w:rsidRDefault="00007F12" w:rsidP="007A739F">
            <w:pPr>
              <w:spacing w:line="20" w:lineRule="atLeast"/>
              <w:jc w:val="center"/>
              <w:rPr>
                <w:rFonts w:cs="Times New Roman"/>
                <w:b/>
                <w:szCs w:val="22"/>
              </w:rPr>
            </w:pPr>
            <w:r w:rsidRPr="00791519">
              <w:rPr>
                <w:rFonts w:cs="Times New Roman"/>
                <w:b/>
                <w:szCs w:val="22"/>
              </w:rPr>
              <w:t>Zalití</w:t>
            </w:r>
          </w:p>
        </w:tc>
      </w:tr>
      <w:tr w:rsidR="00B747C5" w:rsidRPr="00791519" w14:paraId="3BE6EEA1" w14:textId="77777777" w:rsidTr="00B747C5">
        <w:trPr>
          <w:trHeight w:val="315"/>
        </w:trPr>
        <w:tc>
          <w:tcPr>
            <w:tcW w:w="2618" w:type="dxa"/>
            <w:vMerge/>
            <w:tcBorders>
              <w:top w:val="single" w:sz="8" w:space="0" w:color="auto"/>
              <w:left w:val="single" w:sz="12" w:space="0" w:color="auto"/>
              <w:bottom w:val="single" w:sz="12" w:space="0" w:color="auto"/>
              <w:right w:val="single" w:sz="12" w:space="0" w:color="auto"/>
            </w:tcBorders>
            <w:vAlign w:val="center"/>
          </w:tcPr>
          <w:p w14:paraId="6ABB3B3D" w14:textId="77777777" w:rsidR="00007F12" w:rsidRPr="00791519" w:rsidRDefault="00007F12" w:rsidP="007A739F">
            <w:pPr>
              <w:spacing w:line="20" w:lineRule="atLeast"/>
              <w:rPr>
                <w:rFonts w:cs="Times New Roman"/>
                <w:szCs w:val="22"/>
              </w:rPr>
            </w:pPr>
          </w:p>
        </w:tc>
        <w:tc>
          <w:tcPr>
            <w:tcW w:w="1316" w:type="dxa"/>
            <w:tcBorders>
              <w:top w:val="nil"/>
              <w:left w:val="single" w:sz="12" w:space="0" w:color="auto"/>
              <w:bottom w:val="single" w:sz="12" w:space="0" w:color="auto"/>
              <w:right w:val="single" w:sz="2" w:space="0" w:color="auto"/>
            </w:tcBorders>
            <w:shd w:val="clear" w:color="000000" w:fill="D7E4BC"/>
            <w:vAlign w:val="center"/>
          </w:tcPr>
          <w:p w14:paraId="2BDC8487" w14:textId="2AA0D0F9" w:rsidR="00007F12" w:rsidRPr="00791519" w:rsidRDefault="00007F12" w:rsidP="008B5871">
            <w:pPr>
              <w:spacing w:line="20" w:lineRule="atLeast"/>
              <w:jc w:val="center"/>
              <w:rPr>
                <w:rFonts w:cs="Times New Roman"/>
                <w:b/>
                <w:szCs w:val="22"/>
              </w:rPr>
            </w:pPr>
            <w:r w:rsidRPr="00791519">
              <w:rPr>
                <w:rFonts w:cs="Times New Roman"/>
                <w:b/>
                <w:szCs w:val="22"/>
              </w:rPr>
              <w:t xml:space="preserve">DN </w:t>
            </w:r>
            <w:r w:rsidR="00B747C5" w:rsidRPr="00791519">
              <w:rPr>
                <w:rFonts w:cs="Times New Roman"/>
                <w:b/>
                <w:szCs w:val="22"/>
              </w:rPr>
              <w:t>3</w:t>
            </w:r>
            <w:r w:rsidRPr="00791519">
              <w:rPr>
                <w:rFonts w:cs="Times New Roman"/>
                <w:b/>
                <w:szCs w:val="22"/>
              </w:rPr>
              <w:t>00</w:t>
            </w:r>
          </w:p>
        </w:tc>
        <w:tc>
          <w:tcPr>
            <w:tcW w:w="1326" w:type="dxa"/>
            <w:tcBorders>
              <w:top w:val="nil"/>
              <w:left w:val="single" w:sz="2" w:space="0" w:color="auto"/>
              <w:bottom w:val="single" w:sz="12" w:space="0" w:color="auto"/>
              <w:right w:val="single" w:sz="4" w:space="0" w:color="auto"/>
            </w:tcBorders>
            <w:shd w:val="clear" w:color="000000" w:fill="D7E4BC"/>
            <w:noWrap/>
            <w:vAlign w:val="center"/>
          </w:tcPr>
          <w:p w14:paraId="45D50210" w14:textId="5ABF387C" w:rsidR="00007F12" w:rsidRPr="00791519" w:rsidRDefault="00B747C5" w:rsidP="008B5871">
            <w:pPr>
              <w:spacing w:line="20" w:lineRule="atLeast"/>
              <w:jc w:val="center"/>
              <w:rPr>
                <w:rFonts w:cs="Times New Roman"/>
                <w:b/>
                <w:szCs w:val="22"/>
              </w:rPr>
            </w:pPr>
            <w:r w:rsidRPr="00791519">
              <w:rPr>
                <w:rFonts w:cs="Times New Roman"/>
                <w:b/>
                <w:szCs w:val="22"/>
              </w:rPr>
              <w:t>DN 400</w:t>
            </w:r>
          </w:p>
        </w:tc>
        <w:tc>
          <w:tcPr>
            <w:tcW w:w="1174" w:type="dxa"/>
            <w:tcBorders>
              <w:top w:val="nil"/>
              <w:left w:val="single" w:sz="12" w:space="0" w:color="auto"/>
              <w:bottom w:val="single" w:sz="12" w:space="0" w:color="auto"/>
              <w:right w:val="single" w:sz="4" w:space="0" w:color="auto"/>
            </w:tcBorders>
            <w:shd w:val="clear" w:color="000000" w:fill="D7E4BC"/>
            <w:noWrap/>
            <w:vAlign w:val="center"/>
          </w:tcPr>
          <w:p w14:paraId="493DBC45" w14:textId="682ABF04" w:rsidR="00007F12" w:rsidRPr="00791519" w:rsidRDefault="00B747C5" w:rsidP="008B5871">
            <w:pPr>
              <w:spacing w:line="20" w:lineRule="atLeast"/>
              <w:jc w:val="center"/>
              <w:rPr>
                <w:rFonts w:cs="Times New Roman"/>
                <w:b/>
                <w:szCs w:val="22"/>
              </w:rPr>
            </w:pPr>
            <w:r w:rsidRPr="00791519">
              <w:rPr>
                <w:rFonts w:cs="Times New Roman"/>
                <w:b/>
                <w:szCs w:val="22"/>
              </w:rPr>
              <w:t>DN 300</w:t>
            </w:r>
          </w:p>
        </w:tc>
        <w:tc>
          <w:tcPr>
            <w:tcW w:w="1236" w:type="dxa"/>
            <w:tcBorders>
              <w:top w:val="nil"/>
              <w:left w:val="nil"/>
              <w:bottom w:val="single" w:sz="12" w:space="0" w:color="auto"/>
              <w:right w:val="single" w:sz="12" w:space="0" w:color="auto"/>
            </w:tcBorders>
            <w:shd w:val="clear" w:color="000000" w:fill="D7E4BC"/>
            <w:noWrap/>
            <w:vAlign w:val="center"/>
          </w:tcPr>
          <w:p w14:paraId="606C7590" w14:textId="4D44E8F8" w:rsidR="00007F12" w:rsidRPr="00791519" w:rsidRDefault="00B747C5" w:rsidP="008B5871">
            <w:pPr>
              <w:spacing w:line="20" w:lineRule="atLeast"/>
              <w:jc w:val="center"/>
              <w:rPr>
                <w:rFonts w:cs="Times New Roman"/>
                <w:b/>
                <w:szCs w:val="22"/>
              </w:rPr>
            </w:pPr>
            <w:r w:rsidRPr="00791519">
              <w:rPr>
                <w:rFonts w:cs="Times New Roman"/>
                <w:b/>
                <w:szCs w:val="22"/>
              </w:rPr>
              <w:t>DN 400</w:t>
            </w:r>
          </w:p>
        </w:tc>
      </w:tr>
      <w:tr w:rsidR="00B747C5" w:rsidRPr="00791519" w14:paraId="4CC11A25" w14:textId="77777777" w:rsidTr="00B747C5">
        <w:trPr>
          <w:trHeight w:val="300"/>
        </w:trPr>
        <w:tc>
          <w:tcPr>
            <w:tcW w:w="2618" w:type="dxa"/>
            <w:tcBorders>
              <w:top w:val="single" w:sz="12" w:space="0" w:color="auto"/>
              <w:left w:val="single" w:sz="12" w:space="0" w:color="auto"/>
              <w:bottom w:val="single" w:sz="2" w:space="0" w:color="auto"/>
              <w:right w:val="single" w:sz="12" w:space="0" w:color="auto"/>
            </w:tcBorders>
            <w:shd w:val="clear" w:color="000000" w:fill="EAF1DD"/>
            <w:noWrap/>
            <w:vAlign w:val="center"/>
          </w:tcPr>
          <w:p w14:paraId="255D5DBF" w14:textId="7423F1FE" w:rsidR="00007F12" w:rsidRPr="00791519" w:rsidRDefault="00007F12" w:rsidP="008B5871">
            <w:pPr>
              <w:spacing w:line="20" w:lineRule="atLeast"/>
              <w:rPr>
                <w:rFonts w:cs="Times New Roman"/>
                <w:szCs w:val="22"/>
              </w:rPr>
            </w:pPr>
            <w:r w:rsidRPr="00791519">
              <w:rPr>
                <w:rFonts w:cs="Times New Roman"/>
                <w:szCs w:val="22"/>
              </w:rPr>
              <w:t>Stoka „</w:t>
            </w:r>
            <w:r w:rsidR="00B747C5" w:rsidRPr="00791519">
              <w:rPr>
                <w:rFonts w:cs="Times New Roman"/>
                <w:szCs w:val="22"/>
              </w:rPr>
              <w:t>Gajdošova obsl. kom.</w:t>
            </w:r>
            <w:r w:rsidRPr="00791519">
              <w:rPr>
                <w:rFonts w:cs="Times New Roman"/>
                <w:szCs w:val="22"/>
              </w:rPr>
              <w:t>“</w:t>
            </w:r>
          </w:p>
        </w:tc>
        <w:tc>
          <w:tcPr>
            <w:tcW w:w="1316" w:type="dxa"/>
            <w:tcBorders>
              <w:top w:val="single" w:sz="12" w:space="0" w:color="auto"/>
              <w:left w:val="single" w:sz="12" w:space="0" w:color="auto"/>
              <w:bottom w:val="single" w:sz="2" w:space="0" w:color="auto"/>
              <w:right w:val="single" w:sz="2" w:space="0" w:color="auto"/>
            </w:tcBorders>
            <w:vAlign w:val="center"/>
          </w:tcPr>
          <w:p w14:paraId="09E23844" w14:textId="1149B12D" w:rsidR="00007F12" w:rsidRPr="00791519" w:rsidRDefault="00B747C5" w:rsidP="007A739F">
            <w:pPr>
              <w:spacing w:line="20" w:lineRule="atLeast"/>
              <w:jc w:val="center"/>
              <w:rPr>
                <w:rFonts w:cs="Times New Roman"/>
                <w:szCs w:val="22"/>
              </w:rPr>
            </w:pPr>
            <w:r w:rsidRPr="00791519">
              <w:rPr>
                <w:rFonts w:cs="Times New Roman"/>
                <w:szCs w:val="22"/>
              </w:rPr>
              <w:t>-</w:t>
            </w:r>
          </w:p>
        </w:tc>
        <w:tc>
          <w:tcPr>
            <w:tcW w:w="1326" w:type="dxa"/>
            <w:tcBorders>
              <w:top w:val="single" w:sz="12" w:space="0" w:color="auto"/>
              <w:left w:val="single" w:sz="2" w:space="0" w:color="auto"/>
              <w:bottom w:val="single" w:sz="2" w:space="0" w:color="auto"/>
              <w:right w:val="single" w:sz="4" w:space="0" w:color="auto"/>
            </w:tcBorders>
            <w:noWrap/>
            <w:vAlign w:val="center"/>
          </w:tcPr>
          <w:p w14:paraId="46952DF1" w14:textId="777E1A3C" w:rsidR="00007F12" w:rsidRPr="00791519" w:rsidRDefault="00B747C5" w:rsidP="007A739F">
            <w:pPr>
              <w:spacing w:line="20" w:lineRule="atLeast"/>
              <w:jc w:val="center"/>
              <w:rPr>
                <w:rFonts w:cs="Times New Roman"/>
                <w:szCs w:val="22"/>
              </w:rPr>
            </w:pPr>
            <w:r w:rsidRPr="00791519">
              <w:rPr>
                <w:rFonts w:cs="Times New Roman"/>
                <w:szCs w:val="22"/>
              </w:rPr>
              <w:t>134,50</w:t>
            </w:r>
          </w:p>
        </w:tc>
        <w:tc>
          <w:tcPr>
            <w:tcW w:w="1174" w:type="dxa"/>
            <w:tcBorders>
              <w:top w:val="single" w:sz="12" w:space="0" w:color="auto"/>
              <w:left w:val="single" w:sz="12" w:space="0" w:color="auto"/>
              <w:bottom w:val="single" w:sz="2" w:space="0" w:color="auto"/>
              <w:right w:val="single" w:sz="4" w:space="0" w:color="auto"/>
            </w:tcBorders>
            <w:noWrap/>
            <w:vAlign w:val="center"/>
          </w:tcPr>
          <w:p w14:paraId="627E2BC3" w14:textId="07D87768" w:rsidR="00007F12" w:rsidRPr="00791519" w:rsidRDefault="00B747C5" w:rsidP="007A739F">
            <w:pPr>
              <w:spacing w:line="20" w:lineRule="atLeast"/>
              <w:jc w:val="center"/>
              <w:rPr>
                <w:rFonts w:cs="Times New Roman"/>
                <w:szCs w:val="22"/>
              </w:rPr>
            </w:pPr>
            <w:r w:rsidRPr="00791519">
              <w:rPr>
                <w:rFonts w:cs="Times New Roman"/>
                <w:szCs w:val="22"/>
              </w:rPr>
              <w:t>-</w:t>
            </w:r>
          </w:p>
        </w:tc>
        <w:tc>
          <w:tcPr>
            <w:tcW w:w="1236" w:type="dxa"/>
            <w:tcBorders>
              <w:top w:val="single" w:sz="12" w:space="0" w:color="auto"/>
              <w:left w:val="nil"/>
              <w:bottom w:val="single" w:sz="2" w:space="0" w:color="auto"/>
              <w:right w:val="single" w:sz="12" w:space="0" w:color="auto"/>
            </w:tcBorders>
            <w:noWrap/>
            <w:vAlign w:val="center"/>
          </w:tcPr>
          <w:p w14:paraId="1D61D1FA" w14:textId="62592768" w:rsidR="00007F12" w:rsidRPr="00791519" w:rsidRDefault="00B747C5" w:rsidP="007A739F">
            <w:pPr>
              <w:spacing w:line="20" w:lineRule="atLeast"/>
              <w:jc w:val="center"/>
              <w:rPr>
                <w:rFonts w:cs="Times New Roman"/>
                <w:szCs w:val="22"/>
              </w:rPr>
            </w:pPr>
            <w:r w:rsidRPr="00791519">
              <w:rPr>
                <w:rFonts w:cs="Times New Roman"/>
                <w:szCs w:val="22"/>
              </w:rPr>
              <w:t>67,30</w:t>
            </w:r>
          </w:p>
        </w:tc>
      </w:tr>
      <w:tr w:rsidR="00B747C5" w:rsidRPr="00791519" w14:paraId="16F5ABCB" w14:textId="77777777" w:rsidTr="00B747C5">
        <w:trPr>
          <w:trHeight w:val="300"/>
        </w:trPr>
        <w:tc>
          <w:tcPr>
            <w:tcW w:w="2618" w:type="dxa"/>
            <w:tcBorders>
              <w:top w:val="single" w:sz="2" w:space="0" w:color="auto"/>
              <w:left w:val="single" w:sz="12" w:space="0" w:color="auto"/>
              <w:bottom w:val="single" w:sz="4" w:space="0" w:color="auto"/>
              <w:right w:val="single" w:sz="12" w:space="0" w:color="auto"/>
            </w:tcBorders>
            <w:shd w:val="clear" w:color="000000" w:fill="EAF1DD"/>
            <w:noWrap/>
            <w:vAlign w:val="center"/>
          </w:tcPr>
          <w:p w14:paraId="5510D195" w14:textId="4D08B180" w:rsidR="00B747C5" w:rsidRPr="00791519" w:rsidRDefault="00B747C5" w:rsidP="008B5871">
            <w:pPr>
              <w:spacing w:line="20" w:lineRule="atLeast"/>
              <w:rPr>
                <w:rFonts w:cs="Times New Roman"/>
                <w:szCs w:val="22"/>
              </w:rPr>
            </w:pPr>
            <w:r w:rsidRPr="00791519">
              <w:rPr>
                <w:rFonts w:cs="Times New Roman"/>
                <w:szCs w:val="22"/>
              </w:rPr>
              <w:t>Dešťová kanalizace</w:t>
            </w:r>
          </w:p>
        </w:tc>
        <w:tc>
          <w:tcPr>
            <w:tcW w:w="1316" w:type="dxa"/>
            <w:tcBorders>
              <w:top w:val="single" w:sz="2" w:space="0" w:color="auto"/>
              <w:left w:val="single" w:sz="12" w:space="0" w:color="auto"/>
              <w:bottom w:val="single" w:sz="4" w:space="0" w:color="auto"/>
              <w:right w:val="single" w:sz="2" w:space="0" w:color="auto"/>
            </w:tcBorders>
            <w:vAlign w:val="center"/>
          </w:tcPr>
          <w:p w14:paraId="0145350C" w14:textId="035B890C" w:rsidR="00B747C5" w:rsidRPr="00791519" w:rsidRDefault="00B747C5" w:rsidP="007A739F">
            <w:pPr>
              <w:spacing w:line="20" w:lineRule="atLeast"/>
              <w:jc w:val="center"/>
              <w:rPr>
                <w:rFonts w:cs="Times New Roman"/>
                <w:szCs w:val="22"/>
              </w:rPr>
            </w:pPr>
            <w:r w:rsidRPr="00791519">
              <w:rPr>
                <w:rFonts w:cs="Times New Roman"/>
                <w:szCs w:val="22"/>
              </w:rPr>
              <w:t>12,80</w:t>
            </w:r>
          </w:p>
        </w:tc>
        <w:tc>
          <w:tcPr>
            <w:tcW w:w="1326" w:type="dxa"/>
            <w:tcBorders>
              <w:top w:val="single" w:sz="2" w:space="0" w:color="auto"/>
              <w:left w:val="single" w:sz="2" w:space="0" w:color="auto"/>
              <w:bottom w:val="single" w:sz="4" w:space="0" w:color="auto"/>
              <w:right w:val="single" w:sz="4" w:space="0" w:color="auto"/>
            </w:tcBorders>
            <w:noWrap/>
            <w:vAlign w:val="center"/>
          </w:tcPr>
          <w:p w14:paraId="5710C0C2" w14:textId="69A54043" w:rsidR="00B747C5" w:rsidRPr="00791519" w:rsidRDefault="00B747C5" w:rsidP="007A739F">
            <w:pPr>
              <w:spacing w:line="20" w:lineRule="atLeast"/>
              <w:jc w:val="center"/>
              <w:rPr>
                <w:rFonts w:cs="Times New Roman"/>
                <w:szCs w:val="22"/>
              </w:rPr>
            </w:pPr>
            <w:r w:rsidRPr="00791519">
              <w:rPr>
                <w:rFonts w:cs="Times New Roman"/>
                <w:szCs w:val="22"/>
              </w:rPr>
              <w:t>-</w:t>
            </w:r>
          </w:p>
        </w:tc>
        <w:tc>
          <w:tcPr>
            <w:tcW w:w="1174" w:type="dxa"/>
            <w:tcBorders>
              <w:top w:val="single" w:sz="2" w:space="0" w:color="auto"/>
              <w:left w:val="single" w:sz="12" w:space="0" w:color="auto"/>
              <w:bottom w:val="single" w:sz="4" w:space="0" w:color="auto"/>
              <w:right w:val="single" w:sz="4" w:space="0" w:color="auto"/>
            </w:tcBorders>
            <w:noWrap/>
            <w:vAlign w:val="center"/>
          </w:tcPr>
          <w:p w14:paraId="38BFC38C" w14:textId="039F3F4F" w:rsidR="00B747C5" w:rsidRPr="00791519" w:rsidRDefault="00B747C5" w:rsidP="007A739F">
            <w:pPr>
              <w:spacing w:line="20" w:lineRule="atLeast"/>
              <w:jc w:val="center"/>
              <w:rPr>
                <w:rFonts w:cs="Times New Roman"/>
                <w:szCs w:val="22"/>
              </w:rPr>
            </w:pPr>
            <w:r w:rsidRPr="00791519">
              <w:rPr>
                <w:rFonts w:cs="Times New Roman"/>
                <w:szCs w:val="22"/>
              </w:rPr>
              <w:t>-</w:t>
            </w:r>
          </w:p>
        </w:tc>
        <w:tc>
          <w:tcPr>
            <w:tcW w:w="1236" w:type="dxa"/>
            <w:tcBorders>
              <w:top w:val="single" w:sz="2" w:space="0" w:color="auto"/>
              <w:left w:val="nil"/>
              <w:bottom w:val="single" w:sz="4" w:space="0" w:color="auto"/>
              <w:right w:val="single" w:sz="12" w:space="0" w:color="auto"/>
            </w:tcBorders>
            <w:noWrap/>
            <w:vAlign w:val="center"/>
          </w:tcPr>
          <w:p w14:paraId="2FBD9479" w14:textId="0F4C5B92" w:rsidR="00B747C5" w:rsidRPr="00791519" w:rsidRDefault="00B747C5" w:rsidP="007A739F">
            <w:pPr>
              <w:spacing w:line="20" w:lineRule="atLeast"/>
              <w:jc w:val="center"/>
              <w:rPr>
                <w:rFonts w:cs="Times New Roman"/>
                <w:szCs w:val="22"/>
              </w:rPr>
            </w:pPr>
            <w:r w:rsidRPr="00791519">
              <w:rPr>
                <w:rFonts w:cs="Times New Roman"/>
                <w:szCs w:val="22"/>
              </w:rPr>
              <w:t>-</w:t>
            </w:r>
          </w:p>
        </w:tc>
      </w:tr>
      <w:tr w:rsidR="00B747C5" w:rsidRPr="00791519" w14:paraId="02422452" w14:textId="77777777" w:rsidTr="00007F12">
        <w:trPr>
          <w:trHeight w:val="315"/>
        </w:trPr>
        <w:tc>
          <w:tcPr>
            <w:tcW w:w="2618" w:type="dxa"/>
            <w:tcBorders>
              <w:top w:val="single" w:sz="12" w:space="0" w:color="auto"/>
              <w:left w:val="single" w:sz="12" w:space="0" w:color="auto"/>
              <w:bottom w:val="single" w:sz="12" w:space="0" w:color="auto"/>
              <w:right w:val="single" w:sz="12" w:space="0" w:color="auto"/>
            </w:tcBorders>
            <w:shd w:val="clear" w:color="000000" w:fill="EAF1DD"/>
            <w:noWrap/>
            <w:vAlign w:val="center"/>
          </w:tcPr>
          <w:p w14:paraId="0B2F66BB" w14:textId="77777777" w:rsidR="00007F12" w:rsidRPr="00791519" w:rsidRDefault="00007F12" w:rsidP="007A739F">
            <w:pPr>
              <w:spacing w:line="20" w:lineRule="atLeast"/>
              <w:rPr>
                <w:rFonts w:cs="Times New Roman"/>
                <w:b/>
                <w:szCs w:val="22"/>
              </w:rPr>
            </w:pPr>
            <w:r w:rsidRPr="00791519">
              <w:rPr>
                <w:rFonts w:cs="Times New Roman"/>
                <w:b/>
                <w:szCs w:val="22"/>
              </w:rPr>
              <w:t>Délka celkem</w:t>
            </w:r>
          </w:p>
        </w:tc>
        <w:tc>
          <w:tcPr>
            <w:tcW w:w="1316" w:type="dxa"/>
            <w:tcBorders>
              <w:top w:val="single" w:sz="12" w:space="0" w:color="auto"/>
              <w:left w:val="single" w:sz="12" w:space="0" w:color="auto"/>
              <w:bottom w:val="single" w:sz="12" w:space="0" w:color="auto"/>
              <w:right w:val="single" w:sz="2" w:space="0" w:color="auto"/>
            </w:tcBorders>
            <w:vAlign w:val="center"/>
          </w:tcPr>
          <w:p w14:paraId="3484CC21" w14:textId="61EB7DBF" w:rsidR="00007F12" w:rsidRPr="00791519" w:rsidRDefault="00B747C5" w:rsidP="008B5871">
            <w:pPr>
              <w:spacing w:line="20" w:lineRule="atLeast"/>
              <w:jc w:val="center"/>
              <w:rPr>
                <w:rFonts w:cs="Times New Roman"/>
                <w:b/>
                <w:szCs w:val="22"/>
              </w:rPr>
            </w:pPr>
            <w:r w:rsidRPr="00791519">
              <w:rPr>
                <w:rFonts w:cs="Times New Roman"/>
                <w:b/>
                <w:szCs w:val="22"/>
              </w:rPr>
              <w:t>12,80</w:t>
            </w:r>
          </w:p>
        </w:tc>
        <w:tc>
          <w:tcPr>
            <w:tcW w:w="1326" w:type="dxa"/>
            <w:tcBorders>
              <w:top w:val="single" w:sz="12" w:space="0" w:color="auto"/>
              <w:left w:val="single" w:sz="2" w:space="0" w:color="auto"/>
              <w:bottom w:val="single" w:sz="12" w:space="0" w:color="auto"/>
              <w:right w:val="single" w:sz="4" w:space="0" w:color="auto"/>
            </w:tcBorders>
            <w:noWrap/>
            <w:vAlign w:val="center"/>
          </w:tcPr>
          <w:p w14:paraId="6597F0AB" w14:textId="1EC46A8B" w:rsidR="00007F12" w:rsidRPr="00791519" w:rsidRDefault="00B747C5" w:rsidP="007A739F">
            <w:pPr>
              <w:spacing w:line="20" w:lineRule="atLeast"/>
              <w:jc w:val="center"/>
              <w:rPr>
                <w:rFonts w:cs="Times New Roman"/>
                <w:b/>
                <w:szCs w:val="22"/>
              </w:rPr>
            </w:pPr>
            <w:r w:rsidRPr="00791519">
              <w:rPr>
                <w:rFonts w:cs="Times New Roman"/>
                <w:b/>
                <w:szCs w:val="22"/>
              </w:rPr>
              <w:t>134,50</w:t>
            </w:r>
          </w:p>
        </w:tc>
        <w:tc>
          <w:tcPr>
            <w:tcW w:w="1174" w:type="dxa"/>
            <w:tcBorders>
              <w:top w:val="single" w:sz="12" w:space="0" w:color="auto"/>
              <w:left w:val="single" w:sz="12" w:space="0" w:color="auto"/>
              <w:bottom w:val="single" w:sz="12" w:space="0" w:color="auto"/>
              <w:right w:val="single" w:sz="4" w:space="0" w:color="auto"/>
            </w:tcBorders>
            <w:noWrap/>
            <w:vAlign w:val="center"/>
          </w:tcPr>
          <w:p w14:paraId="2FE1E56D" w14:textId="31F19AF9" w:rsidR="00007F12" w:rsidRPr="00791519" w:rsidRDefault="00B747C5" w:rsidP="002103B1">
            <w:pPr>
              <w:spacing w:line="20" w:lineRule="atLeast"/>
              <w:jc w:val="center"/>
              <w:rPr>
                <w:rFonts w:cs="Times New Roman"/>
                <w:b/>
                <w:szCs w:val="22"/>
              </w:rPr>
            </w:pPr>
            <w:r w:rsidRPr="00791519">
              <w:rPr>
                <w:rFonts w:cs="Times New Roman"/>
                <w:b/>
                <w:szCs w:val="22"/>
              </w:rPr>
              <w:t>-</w:t>
            </w:r>
          </w:p>
        </w:tc>
        <w:tc>
          <w:tcPr>
            <w:tcW w:w="1236" w:type="dxa"/>
            <w:tcBorders>
              <w:top w:val="single" w:sz="12" w:space="0" w:color="auto"/>
              <w:left w:val="nil"/>
              <w:bottom w:val="single" w:sz="12" w:space="0" w:color="auto"/>
              <w:right w:val="single" w:sz="12" w:space="0" w:color="auto"/>
            </w:tcBorders>
            <w:noWrap/>
            <w:vAlign w:val="center"/>
          </w:tcPr>
          <w:p w14:paraId="082B5AAC" w14:textId="46DE54AE" w:rsidR="00007F12" w:rsidRPr="00791519" w:rsidRDefault="00B747C5" w:rsidP="00C839AF">
            <w:pPr>
              <w:spacing w:line="20" w:lineRule="atLeast"/>
              <w:jc w:val="center"/>
              <w:rPr>
                <w:rFonts w:cs="Times New Roman"/>
                <w:b/>
                <w:szCs w:val="22"/>
              </w:rPr>
            </w:pPr>
            <w:r w:rsidRPr="00791519">
              <w:rPr>
                <w:rFonts w:cs="Times New Roman"/>
                <w:b/>
                <w:szCs w:val="22"/>
              </w:rPr>
              <w:t>67,30</w:t>
            </w:r>
          </w:p>
        </w:tc>
      </w:tr>
    </w:tbl>
    <w:p w14:paraId="3E781B3B" w14:textId="77777777" w:rsidR="007A739F" w:rsidRPr="00791519" w:rsidRDefault="007A739F" w:rsidP="00D21412">
      <w:pPr>
        <w:pStyle w:val="AqpText"/>
      </w:pPr>
    </w:p>
    <w:p w14:paraId="20B97E2E" w14:textId="79291D17" w:rsidR="005A5433" w:rsidRPr="00791519" w:rsidRDefault="00D21412" w:rsidP="00D21412">
      <w:pPr>
        <w:pStyle w:val="AqpText"/>
      </w:pPr>
      <w:r w:rsidRPr="00791519">
        <w:t xml:space="preserve">Likvidace stávajících domovních přípojek je součástí SO </w:t>
      </w:r>
      <w:r w:rsidR="00007F12" w:rsidRPr="00791519">
        <w:t>320</w:t>
      </w:r>
      <w:r w:rsidR="005A5433" w:rsidRPr="00791519">
        <w:t xml:space="preserve"> </w:t>
      </w:r>
      <w:r w:rsidR="00007F12" w:rsidRPr="00791519">
        <w:t>Kanalizační přípojky</w:t>
      </w:r>
      <w:r w:rsidR="006965C9" w:rsidRPr="00791519">
        <w:t>.</w:t>
      </w:r>
    </w:p>
    <w:p w14:paraId="072A69BB" w14:textId="73FAC425" w:rsidR="008D7F48" w:rsidRPr="00791519" w:rsidRDefault="00D21412" w:rsidP="006965C9">
      <w:pPr>
        <w:pStyle w:val="AqpText"/>
      </w:pPr>
      <w:r w:rsidRPr="00791519">
        <w:t xml:space="preserve">Likvidace uličních vpustí a jejich přípojek bude součástí </w:t>
      </w:r>
      <w:r w:rsidR="005A5433" w:rsidRPr="00791519">
        <w:t xml:space="preserve">SO </w:t>
      </w:r>
      <w:r w:rsidR="00007F12" w:rsidRPr="00791519">
        <w:t>101</w:t>
      </w:r>
      <w:r w:rsidR="005A5433" w:rsidRPr="00791519">
        <w:t xml:space="preserve"> </w:t>
      </w:r>
      <w:r w:rsidR="00B747C5" w:rsidRPr="00791519">
        <w:t>Obslužná komunikace Gajdošova</w:t>
      </w:r>
      <w:r w:rsidR="00007F12" w:rsidRPr="00791519">
        <w:t>.</w:t>
      </w:r>
    </w:p>
    <w:p w14:paraId="0126D533" w14:textId="77777777" w:rsidR="00774674" w:rsidRPr="00791519" w:rsidRDefault="006965C9" w:rsidP="005A5433">
      <w:pPr>
        <w:pStyle w:val="Nadpis3"/>
      </w:pPr>
      <w:bookmarkStart w:id="49" w:name="_Toc62201066"/>
      <w:r w:rsidRPr="00791519">
        <w:t>L</w:t>
      </w:r>
      <w:r w:rsidR="00B02697" w:rsidRPr="00791519">
        <w:t>ikvidované</w:t>
      </w:r>
      <w:r w:rsidR="008D7F48" w:rsidRPr="00791519">
        <w:t xml:space="preserve"> objekty</w:t>
      </w:r>
      <w:bookmarkEnd w:id="49"/>
    </w:p>
    <w:p w14:paraId="49CDA3B9" w14:textId="77777777" w:rsidR="009707DF" w:rsidRPr="00791519" w:rsidRDefault="009707DF" w:rsidP="009707DF">
      <w:pPr>
        <w:pStyle w:val="AqpText"/>
      </w:pPr>
      <w:r w:rsidRPr="00791519">
        <w:t>Likvidace stávajících objektů na kanalizaci (revizní šachty) je navržena takto:</w:t>
      </w:r>
    </w:p>
    <w:p w14:paraId="710ED1C3" w14:textId="238E3915" w:rsidR="009707DF" w:rsidRPr="00791519" w:rsidRDefault="009707DF" w:rsidP="009707DF">
      <w:pPr>
        <w:pStyle w:val="AqpText"/>
        <w:numPr>
          <w:ilvl w:val="0"/>
          <w:numId w:val="11"/>
        </w:numPr>
      </w:pPr>
      <w:r w:rsidRPr="00791519">
        <w:t>Stávající šachta, která se nachází v trase nově navržené stoky nebo v místě výkopu, bude fyzicky odstraněna – vykopána ze země</w:t>
      </w:r>
      <w:r w:rsidR="00AE5265" w:rsidRPr="00791519">
        <w:t>, odvezena a uložena na skládku (</w:t>
      </w:r>
      <w:r w:rsidR="00480360" w:rsidRPr="00791519">
        <w:t>5</w:t>
      </w:r>
      <w:r w:rsidR="00AE5265" w:rsidRPr="00791519">
        <w:t xml:space="preserve"> šachet</w:t>
      </w:r>
      <w:r w:rsidR="00AE7135" w:rsidRPr="00791519">
        <w:t xml:space="preserve"> + 2 ztracené šachty</w:t>
      </w:r>
      <w:r w:rsidR="00AE5265" w:rsidRPr="00791519">
        <w:t>).</w:t>
      </w:r>
    </w:p>
    <w:p w14:paraId="60921E2C" w14:textId="6C2D18E3" w:rsidR="009707DF" w:rsidRPr="00791519" w:rsidRDefault="009707DF" w:rsidP="005A5433">
      <w:pPr>
        <w:pStyle w:val="AqpText"/>
        <w:numPr>
          <w:ilvl w:val="0"/>
          <w:numId w:val="11"/>
        </w:numPr>
      </w:pPr>
      <w:r w:rsidRPr="00791519">
        <w:t xml:space="preserve">Stávající šachta, která se nachází mimo trasu nově navržené stoky a mimo výkop, bude ponechána v zemi </w:t>
      </w:r>
      <w:r w:rsidRPr="00791519">
        <w:br/>
        <w:t>a vyplněna cementopopílkovou směsí (KOPOS), kónus bude od</w:t>
      </w:r>
      <w:r w:rsidR="00AE5265" w:rsidRPr="00791519">
        <w:t>straněn a místo po něm zasypáno</w:t>
      </w:r>
      <w:r w:rsidR="007D0900" w:rsidRPr="00791519">
        <w:t xml:space="preserve"> (</w:t>
      </w:r>
      <w:r w:rsidR="00480360" w:rsidRPr="00791519">
        <w:t>2</w:t>
      </w:r>
      <w:r w:rsidR="007D0900" w:rsidRPr="00791519">
        <w:t xml:space="preserve"> šachty)</w:t>
      </w:r>
      <w:r w:rsidR="00AE5265" w:rsidRPr="00791519">
        <w:t>.</w:t>
      </w:r>
    </w:p>
    <w:p w14:paraId="609C7365" w14:textId="77777777" w:rsidR="00434948" w:rsidRPr="00791519" w:rsidRDefault="00434948" w:rsidP="005A5433">
      <w:pPr>
        <w:pStyle w:val="AqpText"/>
      </w:pPr>
    </w:p>
    <w:tbl>
      <w:tblPr>
        <w:tblW w:w="9087" w:type="dxa"/>
        <w:tblInd w:w="55" w:type="dxa"/>
        <w:tblCellMar>
          <w:left w:w="70" w:type="dxa"/>
          <w:right w:w="70" w:type="dxa"/>
        </w:tblCellMar>
        <w:tblLook w:val="04A0" w:firstRow="1" w:lastRow="0" w:firstColumn="1" w:lastColumn="0" w:noHBand="0" w:noVBand="1"/>
      </w:tblPr>
      <w:tblGrid>
        <w:gridCol w:w="898"/>
        <w:gridCol w:w="960"/>
        <w:gridCol w:w="1134"/>
        <w:gridCol w:w="1100"/>
        <w:gridCol w:w="1134"/>
        <w:gridCol w:w="992"/>
        <w:gridCol w:w="1452"/>
        <w:gridCol w:w="1417"/>
      </w:tblGrid>
      <w:tr w:rsidR="00480360" w:rsidRPr="00791519" w14:paraId="1A665EA0" w14:textId="77777777" w:rsidTr="002424E4">
        <w:trPr>
          <w:trHeight w:val="300"/>
        </w:trPr>
        <w:tc>
          <w:tcPr>
            <w:tcW w:w="1858" w:type="dxa"/>
            <w:gridSpan w:val="2"/>
            <w:tcBorders>
              <w:top w:val="single" w:sz="12" w:space="0" w:color="auto"/>
              <w:left w:val="single" w:sz="12" w:space="0" w:color="auto"/>
              <w:bottom w:val="single" w:sz="4" w:space="0" w:color="auto"/>
              <w:right w:val="single" w:sz="12" w:space="0" w:color="auto"/>
            </w:tcBorders>
            <w:shd w:val="clear" w:color="000000" w:fill="D7E4BC"/>
            <w:noWrap/>
            <w:vAlign w:val="center"/>
            <w:hideMark/>
          </w:tcPr>
          <w:p w14:paraId="6D03DBBB" w14:textId="77777777" w:rsidR="00D97E41" w:rsidRPr="00791519" w:rsidRDefault="00D97E41" w:rsidP="002424E4">
            <w:pPr>
              <w:spacing w:line="240" w:lineRule="auto"/>
              <w:jc w:val="center"/>
              <w:rPr>
                <w:rFonts w:cs="Times New Roman"/>
                <w:b/>
                <w:bCs/>
                <w:szCs w:val="22"/>
              </w:rPr>
            </w:pPr>
            <w:r w:rsidRPr="00791519">
              <w:rPr>
                <w:rFonts w:cs="Times New Roman"/>
                <w:b/>
                <w:bCs/>
                <w:szCs w:val="22"/>
              </w:rPr>
              <w:t>Šachta</w:t>
            </w:r>
          </w:p>
        </w:tc>
        <w:tc>
          <w:tcPr>
            <w:tcW w:w="4360" w:type="dxa"/>
            <w:gridSpan w:val="4"/>
            <w:tcBorders>
              <w:top w:val="single" w:sz="12" w:space="0" w:color="auto"/>
              <w:left w:val="single" w:sz="12" w:space="0" w:color="auto"/>
              <w:bottom w:val="single" w:sz="4" w:space="0" w:color="auto"/>
              <w:right w:val="single" w:sz="12" w:space="0" w:color="auto"/>
            </w:tcBorders>
            <w:shd w:val="clear" w:color="000000" w:fill="D7E4BC"/>
            <w:vAlign w:val="center"/>
          </w:tcPr>
          <w:p w14:paraId="4811804E" w14:textId="77777777" w:rsidR="00D97E41" w:rsidRPr="00791519" w:rsidRDefault="00D97E41" w:rsidP="002424E4">
            <w:pPr>
              <w:spacing w:line="240" w:lineRule="auto"/>
              <w:jc w:val="center"/>
              <w:rPr>
                <w:rFonts w:cs="Times New Roman"/>
                <w:b/>
                <w:bCs/>
                <w:szCs w:val="22"/>
              </w:rPr>
            </w:pPr>
            <w:r w:rsidRPr="00791519">
              <w:rPr>
                <w:rFonts w:cs="Times New Roman"/>
                <w:b/>
                <w:bCs/>
                <w:szCs w:val="22"/>
              </w:rPr>
              <w:t>Hloubka [m]</w:t>
            </w:r>
          </w:p>
        </w:tc>
        <w:tc>
          <w:tcPr>
            <w:tcW w:w="2869" w:type="dxa"/>
            <w:gridSpan w:val="2"/>
            <w:tcBorders>
              <w:top w:val="single" w:sz="12" w:space="0" w:color="auto"/>
              <w:left w:val="single" w:sz="12" w:space="0" w:color="auto"/>
              <w:bottom w:val="single" w:sz="4" w:space="0" w:color="auto"/>
              <w:right w:val="single" w:sz="12" w:space="0" w:color="auto"/>
            </w:tcBorders>
            <w:shd w:val="clear" w:color="000000" w:fill="D7E4BC"/>
            <w:vAlign w:val="center"/>
          </w:tcPr>
          <w:p w14:paraId="6274156A" w14:textId="77777777" w:rsidR="00D97E41" w:rsidRPr="00791519" w:rsidRDefault="00D97E41" w:rsidP="002424E4">
            <w:pPr>
              <w:spacing w:line="240" w:lineRule="auto"/>
              <w:jc w:val="center"/>
              <w:rPr>
                <w:rFonts w:cs="Times New Roman"/>
                <w:b/>
                <w:bCs/>
                <w:szCs w:val="22"/>
              </w:rPr>
            </w:pPr>
            <w:r w:rsidRPr="00791519">
              <w:rPr>
                <w:rFonts w:cs="Times New Roman"/>
                <w:b/>
                <w:bCs/>
                <w:szCs w:val="22"/>
              </w:rPr>
              <w:t xml:space="preserve">Půdorys vnitřní </w:t>
            </w:r>
            <w:r w:rsidRPr="00791519">
              <w:rPr>
                <w:rFonts w:cs="Times New Roman"/>
                <w:b/>
                <w:bCs/>
                <w:szCs w:val="22"/>
                <w:lang w:val="en-US"/>
              </w:rPr>
              <w:t>[m]</w:t>
            </w:r>
          </w:p>
        </w:tc>
      </w:tr>
      <w:tr w:rsidR="00480360" w:rsidRPr="00791519" w14:paraId="14FEBC6A" w14:textId="77777777" w:rsidTr="00A106AC">
        <w:trPr>
          <w:trHeight w:val="300"/>
        </w:trPr>
        <w:tc>
          <w:tcPr>
            <w:tcW w:w="898" w:type="dxa"/>
            <w:tcBorders>
              <w:top w:val="nil"/>
              <w:left w:val="single" w:sz="12" w:space="0" w:color="auto"/>
              <w:bottom w:val="single" w:sz="12" w:space="0" w:color="auto"/>
              <w:right w:val="single" w:sz="4" w:space="0" w:color="auto"/>
            </w:tcBorders>
            <w:shd w:val="clear" w:color="000000" w:fill="D7E4BC"/>
            <w:noWrap/>
            <w:vAlign w:val="center"/>
            <w:hideMark/>
          </w:tcPr>
          <w:p w14:paraId="6448CECE" w14:textId="77777777" w:rsidR="00D97E41" w:rsidRPr="00791519" w:rsidRDefault="00D97E41" w:rsidP="002424E4">
            <w:pPr>
              <w:spacing w:line="240" w:lineRule="auto"/>
              <w:jc w:val="center"/>
              <w:rPr>
                <w:rFonts w:cs="Times New Roman"/>
                <w:b/>
                <w:bCs/>
                <w:szCs w:val="22"/>
              </w:rPr>
            </w:pPr>
            <w:r w:rsidRPr="00791519">
              <w:rPr>
                <w:rFonts w:cs="Times New Roman"/>
                <w:b/>
                <w:bCs/>
                <w:szCs w:val="22"/>
              </w:rPr>
              <w:t>Stávající</w:t>
            </w:r>
          </w:p>
        </w:tc>
        <w:tc>
          <w:tcPr>
            <w:tcW w:w="960" w:type="dxa"/>
            <w:tcBorders>
              <w:top w:val="nil"/>
              <w:left w:val="nil"/>
              <w:bottom w:val="single" w:sz="12" w:space="0" w:color="auto"/>
              <w:right w:val="single" w:sz="12" w:space="0" w:color="auto"/>
            </w:tcBorders>
            <w:shd w:val="clear" w:color="000000" w:fill="D7E4BC"/>
            <w:noWrap/>
            <w:vAlign w:val="center"/>
            <w:hideMark/>
          </w:tcPr>
          <w:p w14:paraId="583294E5" w14:textId="77777777" w:rsidR="00D97E41" w:rsidRPr="00791519" w:rsidRDefault="00D97E41" w:rsidP="002424E4">
            <w:pPr>
              <w:spacing w:line="240" w:lineRule="auto"/>
              <w:jc w:val="center"/>
              <w:rPr>
                <w:rFonts w:cs="Times New Roman"/>
                <w:b/>
                <w:bCs/>
                <w:szCs w:val="22"/>
              </w:rPr>
            </w:pPr>
            <w:r w:rsidRPr="00791519">
              <w:rPr>
                <w:rFonts w:cs="Times New Roman"/>
                <w:b/>
                <w:bCs/>
                <w:szCs w:val="22"/>
              </w:rPr>
              <w:t>Nová</w:t>
            </w:r>
          </w:p>
        </w:tc>
        <w:tc>
          <w:tcPr>
            <w:tcW w:w="1134" w:type="dxa"/>
            <w:tcBorders>
              <w:top w:val="nil"/>
              <w:left w:val="single" w:sz="12" w:space="0" w:color="auto"/>
              <w:bottom w:val="single" w:sz="12" w:space="0" w:color="auto"/>
              <w:right w:val="single" w:sz="4" w:space="0" w:color="auto"/>
            </w:tcBorders>
            <w:shd w:val="clear" w:color="000000" w:fill="D7E4BC"/>
            <w:noWrap/>
            <w:vAlign w:val="center"/>
            <w:hideMark/>
          </w:tcPr>
          <w:p w14:paraId="2786E9CA" w14:textId="77777777" w:rsidR="00D97E41" w:rsidRPr="00791519" w:rsidRDefault="00D97E41" w:rsidP="002424E4">
            <w:pPr>
              <w:spacing w:line="240" w:lineRule="auto"/>
              <w:jc w:val="center"/>
              <w:rPr>
                <w:rFonts w:cs="Times New Roman"/>
                <w:b/>
                <w:bCs/>
                <w:szCs w:val="22"/>
              </w:rPr>
            </w:pPr>
            <w:r w:rsidRPr="00791519">
              <w:rPr>
                <w:rFonts w:cs="Times New Roman"/>
                <w:b/>
                <w:bCs/>
                <w:szCs w:val="22"/>
              </w:rPr>
              <w:t>Komín – prefabrik.</w:t>
            </w:r>
          </w:p>
        </w:tc>
        <w:tc>
          <w:tcPr>
            <w:tcW w:w="1100" w:type="dxa"/>
            <w:tcBorders>
              <w:top w:val="nil"/>
              <w:left w:val="nil"/>
              <w:bottom w:val="single" w:sz="12" w:space="0" w:color="auto"/>
              <w:right w:val="single" w:sz="4" w:space="0" w:color="auto"/>
            </w:tcBorders>
            <w:shd w:val="clear" w:color="000000" w:fill="D7E4BC"/>
            <w:vAlign w:val="center"/>
          </w:tcPr>
          <w:p w14:paraId="7DC3A0A1" w14:textId="77777777" w:rsidR="00D97E41" w:rsidRPr="00791519" w:rsidRDefault="00C42275" w:rsidP="00C42275">
            <w:pPr>
              <w:spacing w:line="240" w:lineRule="auto"/>
              <w:jc w:val="center"/>
              <w:rPr>
                <w:rFonts w:cs="Times New Roman"/>
                <w:b/>
                <w:bCs/>
                <w:szCs w:val="22"/>
              </w:rPr>
            </w:pPr>
            <w:r w:rsidRPr="00791519">
              <w:rPr>
                <w:rFonts w:cs="Times New Roman"/>
                <w:b/>
                <w:bCs/>
                <w:szCs w:val="22"/>
              </w:rPr>
              <w:t>Dno</w:t>
            </w:r>
            <w:r w:rsidR="00D97E41" w:rsidRPr="00791519">
              <w:rPr>
                <w:rFonts w:cs="Times New Roman"/>
                <w:b/>
                <w:bCs/>
                <w:szCs w:val="22"/>
              </w:rPr>
              <w:t xml:space="preserve"> – </w:t>
            </w:r>
            <w:r w:rsidRPr="00791519">
              <w:rPr>
                <w:rFonts w:cs="Times New Roman"/>
                <w:b/>
                <w:bCs/>
                <w:szCs w:val="22"/>
              </w:rPr>
              <w:t>prefabrik</w:t>
            </w:r>
            <w:r w:rsidR="00D97E41" w:rsidRPr="00791519">
              <w:rPr>
                <w:rFonts w:cs="Times New Roman"/>
                <w:b/>
                <w:bCs/>
                <w:szCs w:val="22"/>
              </w:rPr>
              <w:t>.</w:t>
            </w:r>
          </w:p>
        </w:tc>
        <w:tc>
          <w:tcPr>
            <w:tcW w:w="1134" w:type="dxa"/>
            <w:tcBorders>
              <w:top w:val="nil"/>
              <w:left w:val="single" w:sz="4" w:space="0" w:color="auto"/>
              <w:bottom w:val="single" w:sz="12" w:space="0" w:color="auto"/>
              <w:right w:val="single" w:sz="4" w:space="0" w:color="auto"/>
            </w:tcBorders>
            <w:shd w:val="clear" w:color="000000" w:fill="D7E4BC"/>
            <w:noWrap/>
            <w:vAlign w:val="center"/>
            <w:hideMark/>
          </w:tcPr>
          <w:p w14:paraId="54F62DCF" w14:textId="77777777" w:rsidR="00D97E41" w:rsidRPr="00791519" w:rsidRDefault="00D97E41" w:rsidP="002424E4">
            <w:pPr>
              <w:spacing w:line="240" w:lineRule="auto"/>
              <w:jc w:val="center"/>
              <w:rPr>
                <w:rFonts w:cs="Times New Roman"/>
                <w:b/>
                <w:bCs/>
                <w:szCs w:val="22"/>
              </w:rPr>
            </w:pPr>
            <w:r w:rsidRPr="00791519">
              <w:rPr>
                <w:rFonts w:cs="Times New Roman"/>
                <w:b/>
                <w:bCs/>
                <w:szCs w:val="22"/>
              </w:rPr>
              <w:t>Dno – monolit.</w:t>
            </w:r>
          </w:p>
        </w:tc>
        <w:tc>
          <w:tcPr>
            <w:tcW w:w="992" w:type="dxa"/>
            <w:tcBorders>
              <w:top w:val="nil"/>
              <w:left w:val="nil"/>
              <w:bottom w:val="single" w:sz="12" w:space="0" w:color="auto"/>
              <w:right w:val="single" w:sz="12" w:space="0" w:color="auto"/>
            </w:tcBorders>
            <w:shd w:val="clear" w:color="000000" w:fill="D7E4BC"/>
            <w:noWrap/>
            <w:vAlign w:val="center"/>
            <w:hideMark/>
          </w:tcPr>
          <w:p w14:paraId="034838A4" w14:textId="77777777" w:rsidR="00D97E41" w:rsidRPr="00791519" w:rsidRDefault="00D97E41" w:rsidP="002424E4">
            <w:pPr>
              <w:spacing w:line="240" w:lineRule="auto"/>
              <w:jc w:val="center"/>
              <w:rPr>
                <w:rFonts w:cs="Times New Roman"/>
                <w:b/>
                <w:bCs/>
                <w:szCs w:val="22"/>
              </w:rPr>
            </w:pPr>
            <w:r w:rsidRPr="00791519">
              <w:rPr>
                <w:rFonts w:cs="Times New Roman"/>
                <w:b/>
                <w:bCs/>
                <w:szCs w:val="22"/>
              </w:rPr>
              <w:t>Celkem</w:t>
            </w:r>
          </w:p>
        </w:tc>
        <w:tc>
          <w:tcPr>
            <w:tcW w:w="1452" w:type="dxa"/>
            <w:tcBorders>
              <w:top w:val="nil"/>
              <w:left w:val="single" w:sz="12" w:space="0" w:color="auto"/>
              <w:bottom w:val="single" w:sz="12" w:space="0" w:color="auto"/>
              <w:right w:val="single" w:sz="4" w:space="0" w:color="auto"/>
            </w:tcBorders>
            <w:shd w:val="clear" w:color="000000" w:fill="D7E4BC"/>
            <w:vAlign w:val="center"/>
          </w:tcPr>
          <w:p w14:paraId="04B1A846" w14:textId="77777777" w:rsidR="00D97E41" w:rsidRPr="00791519" w:rsidRDefault="00D97E41" w:rsidP="002424E4">
            <w:pPr>
              <w:spacing w:line="240" w:lineRule="auto"/>
              <w:jc w:val="center"/>
              <w:rPr>
                <w:rFonts w:cs="Times New Roman"/>
                <w:b/>
                <w:bCs/>
                <w:szCs w:val="22"/>
              </w:rPr>
            </w:pPr>
            <w:r w:rsidRPr="00791519">
              <w:rPr>
                <w:rFonts w:cs="Times New Roman"/>
                <w:b/>
                <w:bCs/>
                <w:szCs w:val="22"/>
              </w:rPr>
              <w:t>Komín</w:t>
            </w:r>
          </w:p>
        </w:tc>
        <w:tc>
          <w:tcPr>
            <w:tcW w:w="1417" w:type="dxa"/>
            <w:tcBorders>
              <w:top w:val="nil"/>
              <w:left w:val="nil"/>
              <w:bottom w:val="single" w:sz="12" w:space="0" w:color="auto"/>
              <w:right w:val="single" w:sz="12" w:space="0" w:color="auto"/>
            </w:tcBorders>
            <w:shd w:val="clear" w:color="000000" w:fill="D7E4BC"/>
            <w:vAlign w:val="center"/>
          </w:tcPr>
          <w:p w14:paraId="2E913DDB" w14:textId="77777777" w:rsidR="00D97E41" w:rsidRPr="00791519" w:rsidRDefault="00D97E41" w:rsidP="002424E4">
            <w:pPr>
              <w:spacing w:line="240" w:lineRule="auto"/>
              <w:jc w:val="center"/>
              <w:rPr>
                <w:rFonts w:cs="Times New Roman"/>
                <w:b/>
                <w:bCs/>
                <w:szCs w:val="22"/>
              </w:rPr>
            </w:pPr>
            <w:r w:rsidRPr="00791519">
              <w:rPr>
                <w:rFonts w:cs="Times New Roman"/>
                <w:b/>
                <w:bCs/>
                <w:szCs w:val="22"/>
              </w:rPr>
              <w:t>Dno</w:t>
            </w:r>
          </w:p>
        </w:tc>
      </w:tr>
      <w:tr w:rsidR="00A106AC" w:rsidRPr="00791519" w14:paraId="001A1714" w14:textId="77777777" w:rsidTr="00A106AC">
        <w:trPr>
          <w:trHeight w:val="300"/>
        </w:trPr>
        <w:tc>
          <w:tcPr>
            <w:tcW w:w="898" w:type="dxa"/>
            <w:tcBorders>
              <w:top w:val="single" w:sz="12" w:space="0" w:color="auto"/>
              <w:left w:val="single" w:sz="12" w:space="0" w:color="auto"/>
              <w:bottom w:val="single" w:sz="2" w:space="0" w:color="auto"/>
              <w:right w:val="single" w:sz="4" w:space="0" w:color="auto"/>
            </w:tcBorders>
            <w:shd w:val="clear" w:color="000000" w:fill="EAF1DD"/>
            <w:noWrap/>
            <w:vAlign w:val="center"/>
          </w:tcPr>
          <w:p w14:paraId="5D828755" w14:textId="4E2CA1C2" w:rsidR="00A106AC" w:rsidRPr="00791519" w:rsidRDefault="00A106AC" w:rsidP="002424E4">
            <w:pPr>
              <w:spacing w:line="240" w:lineRule="auto"/>
              <w:jc w:val="center"/>
              <w:rPr>
                <w:rFonts w:cs="Times New Roman"/>
                <w:szCs w:val="22"/>
              </w:rPr>
            </w:pPr>
            <w:r w:rsidRPr="00791519">
              <w:rPr>
                <w:rFonts w:cs="Times New Roman"/>
                <w:szCs w:val="22"/>
              </w:rPr>
              <w:t>3755003</w:t>
            </w:r>
          </w:p>
        </w:tc>
        <w:tc>
          <w:tcPr>
            <w:tcW w:w="960" w:type="dxa"/>
            <w:tcBorders>
              <w:top w:val="single" w:sz="12" w:space="0" w:color="auto"/>
              <w:left w:val="nil"/>
              <w:bottom w:val="single" w:sz="2" w:space="0" w:color="auto"/>
              <w:right w:val="single" w:sz="12" w:space="0" w:color="auto"/>
            </w:tcBorders>
            <w:shd w:val="clear" w:color="000000" w:fill="EAF1DD"/>
            <w:noWrap/>
            <w:vAlign w:val="center"/>
          </w:tcPr>
          <w:p w14:paraId="738EA28B" w14:textId="21467A8D" w:rsidR="00A106AC" w:rsidRPr="00791519" w:rsidRDefault="00A106AC" w:rsidP="002424E4">
            <w:pPr>
              <w:spacing w:line="240" w:lineRule="auto"/>
              <w:jc w:val="center"/>
              <w:rPr>
                <w:rFonts w:cs="Times New Roman"/>
                <w:szCs w:val="22"/>
              </w:rPr>
            </w:pPr>
            <w:r w:rsidRPr="00791519">
              <w:rPr>
                <w:rFonts w:cs="Times New Roman"/>
                <w:szCs w:val="22"/>
              </w:rPr>
              <w:t>-</w:t>
            </w:r>
          </w:p>
        </w:tc>
        <w:tc>
          <w:tcPr>
            <w:tcW w:w="1134" w:type="dxa"/>
            <w:tcBorders>
              <w:top w:val="single" w:sz="12" w:space="0" w:color="auto"/>
              <w:left w:val="single" w:sz="12" w:space="0" w:color="auto"/>
              <w:bottom w:val="single" w:sz="2" w:space="0" w:color="auto"/>
              <w:right w:val="single" w:sz="4" w:space="0" w:color="auto"/>
            </w:tcBorders>
            <w:shd w:val="clear" w:color="auto" w:fill="auto"/>
            <w:noWrap/>
            <w:vAlign w:val="center"/>
          </w:tcPr>
          <w:p w14:paraId="41FE9719" w14:textId="27D83C5B" w:rsidR="00A106AC" w:rsidRPr="00791519" w:rsidRDefault="00A106AC" w:rsidP="002424E4">
            <w:pPr>
              <w:spacing w:line="240" w:lineRule="auto"/>
              <w:jc w:val="center"/>
              <w:rPr>
                <w:rFonts w:cs="Times New Roman"/>
                <w:szCs w:val="22"/>
              </w:rPr>
            </w:pPr>
            <w:r w:rsidRPr="00791519">
              <w:rPr>
                <w:rFonts w:cs="Times New Roman"/>
                <w:szCs w:val="22"/>
              </w:rPr>
              <w:t>-</w:t>
            </w:r>
          </w:p>
        </w:tc>
        <w:tc>
          <w:tcPr>
            <w:tcW w:w="1100" w:type="dxa"/>
            <w:tcBorders>
              <w:top w:val="single" w:sz="12" w:space="0" w:color="auto"/>
              <w:left w:val="nil"/>
              <w:bottom w:val="single" w:sz="2" w:space="0" w:color="auto"/>
              <w:right w:val="single" w:sz="4" w:space="0" w:color="auto"/>
            </w:tcBorders>
            <w:vAlign w:val="center"/>
          </w:tcPr>
          <w:p w14:paraId="5EF7636F" w14:textId="12D10D7A" w:rsidR="00A106AC" w:rsidRPr="00791519" w:rsidRDefault="00A106AC" w:rsidP="002424E4">
            <w:pPr>
              <w:spacing w:line="240" w:lineRule="auto"/>
              <w:jc w:val="center"/>
              <w:rPr>
                <w:rFonts w:cs="Times New Roman"/>
                <w:szCs w:val="22"/>
              </w:rPr>
            </w:pPr>
            <w:r w:rsidRPr="00791519">
              <w:rPr>
                <w:rFonts w:cs="Times New Roman"/>
                <w:szCs w:val="22"/>
              </w:rPr>
              <w:t>1,00</w:t>
            </w:r>
          </w:p>
        </w:tc>
        <w:tc>
          <w:tcPr>
            <w:tcW w:w="1134" w:type="dxa"/>
            <w:tcBorders>
              <w:top w:val="single" w:sz="12" w:space="0" w:color="auto"/>
              <w:left w:val="single" w:sz="4" w:space="0" w:color="auto"/>
              <w:bottom w:val="single" w:sz="2" w:space="0" w:color="auto"/>
              <w:right w:val="single" w:sz="4" w:space="0" w:color="auto"/>
            </w:tcBorders>
            <w:shd w:val="clear" w:color="auto" w:fill="auto"/>
            <w:noWrap/>
            <w:vAlign w:val="center"/>
          </w:tcPr>
          <w:p w14:paraId="53AE92DB" w14:textId="78FEC4AD" w:rsidR="00A106AC" w:rsidRPr="00791519" w:rsidRDefault="00A106AC" w:rsidP="002424E4">
            <w:pPr>
              <w:spacing w:line="240" w:lineRule="auto"/>
              <w:jc w:val="center"/>
              <w:rPr>
                <w:rFonts w:cs="Times New Roman"/>
                <w:szCs w:val="22"/>
              </w:rPr>
            </w:pPr>
            <w:r w:rsidRPr="00791519">
              <w:rPr>
                <w:rFonts w:cs="Times New Roman"/>
                <w:szCs w:val="22"/>
              </w:rPr>
              <w:t>-</w:t>
            </w:r>
          </w:p>
        </w:tc>
        <w:tc>
          <w:tcPr>
            <w:tcW w:w="992" w:type="dxa"/>
            <w:tcBorders>
              <w:top w:val="single" w:sz="12" w:space="0" w:color="auto"/>
              <w:left w:val="nil"/>
              <w:bottom w:val="single" w:sz="2" w:space="0" w:color="auto"/>
              <w:right w:val="single" w:sz="12" w:space="0" w:color="auto"/>
            </w:tcBorders>
            <w:shd w:val="clear" w:color="auto" w:fill="auto"/>
            <w:noWrap/>
            <w:vAlign w:val="center"/>
          </w:tcPr>
          <w:p w14:paraId="6B44CD39" w14:textId="5C432B40" w:rsidR="00A106AC" w:rsidRPr="00791519" w:rsidRDefault="00A106AC" w:rsidP="002424E4">
            <w:pPr>
              <w:spacing w:line="240" w:lineRule="auto"/>
              <w:jc w:val="center"/>
              <w:rPr>
                <w:rFonts w:cs="Times New Roman"/>
                <w:szCs w:val="22"/>
              </w:rPr>
            </w:pPr>
            <w:r w:rsidRPr="00791519">
              <w:rPr>
                <w:rFonts w:cs="Times New Roman"/>
                <w:szCs w:val="22"/>
              </w:rPr>
              <w:t>1,00</w:t>
            </w:r>
          </w:p>
        </w:tc>
        <w:tc>
          <w:tcPr>
            <w:tcW w:w="1452" w:type="dxa"/>
            <w:tcBorders>
              <w:top w:val="single" w:sz="12" w:space="0" w:color="auto"/>
              <w:left w:val="single" w:sz="12" w:space="0" w:color="auto"/>
              <w:bottom w:val="single" w:sz="2" w:space="0" w:color="auto"/>
              <w:right w:val="single" w:sz="4" w:space="0" w:color="auto"/>
            </w:tcBorders>
            <w:vAlign w:val="center"/>
          </w:tcPr>
          <w:p w14:paraId="4981F29A" w14:textId="17DF2E83" w:rsidR="00A106AC" w:rsidRPr="00791519" w:rsidRDefault="00A106AC" w:rsidP="002424E4">
            <w:pPr>
              <w:spacing w:line="240" w:lineRule="auto"/>
              <w:jc w:val="center"/>
              <w:rPr>
                <w:rFonts w:cs="Times New Roman"/>
                <w:szCs w:val="22"/>
              </w:rPr>
            </w:pPr>
            <w:r w:rsidRPr="00791519">
              <w:rPr>
                <w:rFonts w:cs="Times New Roman"/>
                <w:szCs w:val="22"/>
              </w:rPr>
              <w:t>-</w:t>
            </w:r>
          </w:p>
        </w:tc>
        <w:tc>
          <w:tcPr>
            <w:tcW w:w="1417" w:type="dxa"/>
            <w:tcBorders>
              <w:top w:val="single" w:sz="12" w:space="0" w:color="auto"/>
              <w:left w:val="nil"/>
              <w:bottom w:val="single" w:sz="2" w:space="0" w:color="auto"/>
              <w:right w:val="single" w:sz="12" w:space="0" w:color="auto"/>
            </w:tcBorders>
            <w:vAlign w:val="center"/>
          </w:tcPr>
          <w:p w14:paraId="1944D131" w14:textId="2416B660" w:rsidR="00A106AC" w:rsidRPr="00791519" w:rsidRDefault="00A106AC" w:rsidP="002424E4">
            <w:pPr>
              <w:spacing w:line="240" w:lineRule="auto"/>
              <w:jc w:val="center"/>
              <w:rPr>
                <w:rFonts w:cs="Times New Roman"/>
                <w:szCs w:val="22"/>
              </w:rPr>
            </w:pPr>
            <w:r w:rsidRPr="00791519">
              <w:rPr>
                <w:rFonts w:cs="Times New Roman"/>
                <w:szCs w:val="22"/>
              </w:rPr>
              <w:t>1,0</w:t>
            </w:r>
          </w:p>
        </w:tc>
      </w:tr>
      <w:tr w:rsidR="00480360" w:rsidRPr="00791519" w14:paraId="265123B9" w14:textId="77777777" w:rsidTr="00A106AC">
        <w:trPr>
          <w:trHeight w:val="300"/>
        </w:trPr>
        <w:tc>
          <w:tcPr>
            <w:tcW w:w="898" w:type="dxa"/>
            <w:tcBorders>
              <w:top w:val="single" w:sz="2" w:space="0" w:color="auto"/>
              <w:left w:val="single" w:sz="12" w:space="0" w:color="auto"/>
              <w:bottom w:val="single" w:sz="4" w:space="0" w:color="auto"/>
              <w:right w:val="single" w:sz="4" w:space="0" w:color="auto"/>
            </w:tcBorders>
            <w:shd w:val="clear" w:color="000000" w:fill="EAF1DD"/>
            <w:noWrap/>
            <w:vAlign w:val="center"/>
            <w:hideMark/>
          </w:tcPr>
          <w:p w14:paraId="0B8EEC24" w14:textId="25701E6B" w:rsidR="00D97E41" w:rsidRPr="00791519" w:rsidRDefault="00E91A2B" w:rsidP="002424E4">
            <w:pPr>
              <w:spacing w:line="240" w:lineRule="auto"/>
              <w:jc w:val="center"/>
              <w:rPr>
                <w:rFonts w:cs="Times New Roman"/>
                <w:szCs w:val="22"/>
              </w:rPr>
            </w:pPr>
            <w:r w:rsidRPr="00791519">
              <w:rPr>
                <w:rFonts w:cs="Times New Roman"/>
                <w:szCs w:val="22"/>
              </w:rPr>
              <w:t>63524</w:t>
            </w:r>
          </w:p>
        </w:tc>
        <w:tc>
          <w:tcPr>
            <w:tcW w:w="960" w:type="dxa"/>
            <w:tcBorders>
              <w:top w:val="single" w:sz="2" w:space="0" w:color="auto"/>
              <w:left w:val="nil"/>
              <w:bottom w:val="single" w:sz="4" w:space="0" w:color="auto"/>
              <w:right w:val="single" w:sz="12" w:space="0" w:color="auto"/>
            </w:tcBorders>
            <w:shd w:val="clear" w:color="000000" w:fill="EAF1DD"/>
            <w:noWrap/>
            <w:vAlign w:val="center"/>
            <w:hideMark/>
          </w:tcPr>
          <w:p w14:paraId="0505D0B3" w14:textId="3F90A5E7" w:rsidR="00D97E41" w:rsidRPr="00791519" w:rsidRDefault="00E91A2B" w:rsidP="002424E4">
            <w:pPr>
              <w:spacing w:line="240" w:lineRule="auto"/>
              <w:jc w:val="center"/>
              <w:rPr>
                <w:rFonts w:cs="Times New Roman"/>
                <w:szCs w:val="22"/>
              </w:rPr>
            </w:pPr>
            <w:r w:rsidRPr="00791519">
              <w:rPr>
                <w:rFonts w:cs="Times New Roman"/>
                <w:szCs w:val="22"/>
              </w:rPr>
              <w:t>Š1</w:t>
            </w:r>
          </w:p>
        </w:tc>
        <w:tc>
          <w:tcPr>
            <w:tcW w:w="1134" w:type="dxa"/>
            <w:tcBorders>
              <w:top w:val="single" w:sz="2" w:space="0" w:color="auto"/>
              <w:left w:val="single" w:sz="12" w:space="0" w:color="auto"/>
              <w:bottom w:val="single" w:sz="4" w:space="0" w:color="auto"/>
              <w:right w:val="single" w:sz="4" w:space="0" w:color="auto"/>
            </w:tcBorders>
            <w:shd w:val="clear" w:color="auto" w:fill="auto"/>
            <w:noWrap/>
            <w:vAlign w:val="center"/>
            <w:hideMark/>
          </w:tcPr>
          <w:p w14:paraId="4B2413EB" w14:textId="6DAC8D96" w:rsidR="00D97E41" w:rsidRPr="00791519" w:rsidRDefault="00E91A2B" w:rsidP="002424E4">
            <w:pPr>
              <w:spacing w:line="240" w:lineRule="auto"/>
              <w:jc w:val="center"/>
              <w:rPr>
                <w:rFonts w:cs="Times New Roman"/>
                <w:szCs w:val="22"/>
              </w:rPr>
            </w:pPr>
            <w:r w:rsidRPr="00791519">
              <w:rPr>
                <w:rFonts w:cs="Times New Roman"/>
                <w:szCs w:val="22"/>
              </w:rPr>
              <w:t>2,71</w:t>
            </w:r>
          </w:p>
        </w:tc>
        <w:tc>
          <w:tcPr>
            <w:tcW w:w="1100" w:type="dxa"/>
            <w:tcBorders>
              <w:top w:val="single" w:sz="2" w:space="0" w:color="auto"/>
              <w:left w:val="nil"/>
              <w:bottom w:val="single" w:sz="4" w:space="0" w:color="auto"/>
              <w:right w:val="single" w:sz="4" w:space="0" w:color="auto"/>
            </w:tcBorders>
            <w:vAlign w:val="center"/>
          </w:tcPr>
          <w:p w14:paraId="421CF8FF" w14:textId="7CE27597" w:rsidR="00D97E41" w:rsidRPr="00791519" w:rsidRDefault="00E91A2B" w:rsidP="002424E4">
            <w:pPr>
              <w:spacing w:line="240" w:lineRule="auto"/>
              <w:jc w:val="center"/>
              <w:rPr>
                <w:rFonts w:cs="Times New Roman"/>
                <w:szCs w:val="22"/>
              </w:rPr>
            </w:pPr>
            <w:r w:rsidRPr="00791519">
              <w:rPr>
                <w:rFonts w:cs="Times New Roman"/>
                <w:szCs w:val="22"/>
              </w:rPr>
              <w:t>1,30</w:t>
            </w:r>
          </w:p>
        </w:tc>
        <w:tc>
          <w:tcPr>
            <w:tcW w:w="1134" w:type="dxa"/>
            <w:tcBorders>
              <w:top w:val="single" w:sz="2" w:space="0" w:color="auto"/>
              <w:left w:val="single" w:sz="4" w:space="0" w:color="auto"/>
              <w:bottom w:val="single" w:sz="4" w:space="0" w:color="auto"/>
              <w:right w:val="single" w:sz="4" w:space="0" w:color="auto"/>
            </w:tcBorders>
            <w:shd w:val="clear" w:color="auto" w:fill="auto"/>
            <w:noWrap/>
            <w:vAlign w:val="center"/>
            <w:hideMark/>
          </w:tcPr>
          <w:p w14:paraId="6C892FE4" w14:textId="0470B293" w:rsidR="00D97E41" w:rsidRPr="00791519" w:rsidRDefault="00155365" w:rsidP="002424E4">
            <w:pPr>
              <w:spacing w:line="240" w:lineRule="auto"/>
              <w:jc w:val="center"/>
              <w:rPr>
                <w:rFonts w:cs="Times New Roman"/>
                <w:szCs w:val="22"/>
              </w:rPr>
            </w:pPr>
            <w:r w:rsidRPr="00791519">
              <w:rPr>
                <w:rFonts w:cs="Times New Roman"/>
                <w:szCs w:val="22"/>
              </w:rPr>
              <w:t>-</w:t>
            </w:r>
          </w:p>
        </w:tc>
        <w:tc>
          <w:tcPr>
            <w:tcW w:w="992" w:type="dxa"/>
            <w:tcBorders>
              <w:top w:val="single" w:sz="2" w:space="0" w:color="auto"/>
              <w:left w:val="nil"/>
              <w:bottom w:val="single" w:sz="4" w:space="0" w:color="auto"/>
              <w:right w:val="single" w:sz="12" w:space="0" w:color="auto"/>
            </w:tcBorders>
            <w:shd w:val="clear" w:color="auto" w:fill="auto"/>
            <w:noWrap/>
            <w:vAlign w:val="center"/>
            <w:hideMark/>
          </w:tcPr>
          <w:p w14:paraId="65FF3530" w14:textId="2A7A4CFB" w:rsidR="00D97E41" w:rsidRPr="00791519" w:rsidRDefault="00E91A2B" w:rsidP="002424E4">
            <w:pPr>
              <w:spacing w:line="240" w:lineRule="auto"/>
              <w:jc w:val="center"/>
              <w:rPr>
                <w:rFonts w:cs="Times New Roman"/>
                <w:szCs w:val="22"/>
              </w:rPr>
            </w:pPr>
            <w:r w:rsidRPr="00791519">
              <w:rPr>
                <w:rFonts w:cs="Times New Roman"/>
                <w:szCs w:val="22"/>
              </w:rPr>
              <w:t>4,01</w:t>
            </w:r>
          </w:p>
        </w:tc>
        <w:tc>
          <w:tcPr>
            <w:tcW w:w="1452" w:type="dxa"/>
            <w:tcBorders>
              <w:top w:val="single" w:sz="2" w:space="0" w:color="auto"/>
              <w:left w:val="single" w:sz="12" w:space="0" w:color="auto"/>
              <w:bottom w:val="single" w:sz="4" w:space="0" w:color="auto"/>
              <w:right w:val="single" w:sz="4" w:space="0" w:color="auto"/>
            </w:tcBorders>
            <w:vAlign w:val="center"/>
          </w:tcPr>
          <w:p w14:paraId="0AA859EB" w14:textId="77777777" w:rsidR="00D97E41" w:rsidRPr="00791519" w:rsidRDefault="00F1042E" w:rsidP="002424E4">
            <w:pPr>
              <w:spacing w:line="240" w:lineRule="auto"/>
              <w:jc w:val="center"/>
              <w:rPr>
                <w:rFonts w:cs="Times New Roman"/>
                <w:szCs w:val="22"/>
              </w:rPr>
            </w:pPr>
            <w:r w:rsidRPr="00791519">
              <w:rPr>
                <w:rFonts w:cs="Times New Roman"/>
                <w:szCs w:val="22"/>
              </w:rPr>
              <w:t>1,0</w:t>
            </w:r>
          </w:p>
        </w:tc>
        <w:tc>
          <w:tcPr>
            <w:tcW w:w="1417" w:type="dxa"/>
            <w:tcBorders>
              <w:top w:val="single" w:sz="2" w:space="0" w:color="auto"/>
              <w:left w:val="nil"/>
              <w:bottom w:val="single" w:sz="4" w:space="0" w:color="auto"/>
              <w:right w:val="single" w:sz="12" w:space="0" w:color="auto"/>
            </w:tcBorders>
            <w:vAlign w:val="center"/>
          </w:tcPr>
          <w:p w14:paraId="778E39ED" w14:textId="07363B41" w:rsidR="00D97E41" w:rsidRPr="00791519" w:rsidRDefault="00E91A2B" w:rsidP="002424E4">
            <w:pPr>
              <w:spacing w:line="240" w:lineRule="auto"/>
              <w:jc w:val="center"/>
              <w:rPr>
                <w:rFonts w:cs="Times New Roman"/>
                <w:szCs w:val="22"/>
              </w:rPr>
            </w:pPr>
            <w:r w:rsidRPr="00791519">
              <w:rPr>
                <w:rFonts w:cs="Times New Roman"/>
                <w:szCs w:val="22"/>
              </w:rPr>
              <w:t>1,0</w:t>
            </w:r>
          </w:p>
        </w:tc>
      </w:tr>
      <w:tr w:rsidR="00480360" w:rsidRPr="00791519" w14:paraId="73F2E426" w14:textId="77777777" w:rsidTr="002424E4">
        <w:trPr>
          <w:trHeight w:val="300"/>
        </w:trPr>
        <w:tc>
          <w:tcPr>
            <w:tcW w:w="898" w:type="dxa"/>
            <w:tcBorders>
              <w:top w:val="nil"/>
              <w:left w:val="single" w:sz="12" w:space="0" w:color="auto"/>
              <w:bottom w:val="single" w:sz="4" w:space="0" w:color="auto"/>
              <w:right w:val="single" w:sz="4" w:space="0" w:color="auto"/>
            </w:tcBorders>
            <w:shd w:val="clear" w:color="000000" w:fill="EAF1DD"/>
            <w:noWrap/>
            <w:vAlign w:val="center"/>
            <w:hideMark/>
          </w:tcPr>
          <w:p w14:paraId="11D435F8" w14:textId="7F098649" w:rsidR="00D97E41" w:rsidRPr="00791519" w:rsidRDefault="00E91A2B" w:rsidP="002424E4">
            <w:pPr>
              <w:spacing w:line="240" w:lineRule="auto"/>
              <w:jc w:val="center"/>
              <w:rPr>
                <w:rFonts w:cs="Times New Roman"/>
                <w:szCs w:val="22"/>
              </w:rPr>
            </w:pPr>
            <w:r w:rsidRPr="00791519">
              <w:rPr>
                <w:rFonts w:cs="Times New Roman"/>
                <w:szCs w:val="22"/>
              </w:rPr>
              <w:t>64472</w:t>
            </w:r>
          </w:p>
        </w:tc>
        <w:tc>
          <w:tcPr>
            <w:tcW w:w="960" w:type="dxa"/>
            <w:tcBorders>
              <w:top w:val="nil"/>
              <w:left w:val="nil"/>
              <w:bottom w:val="single" w:sz="4" w:space="0" w:color="auto"/>
              <w:right w:val="single" w:sz="12" w:space="0" w:color="auto"/>
            </w:tcBorders>
            <w:shd w:val="clear" w:color="000000" w:fill="EAF1DD"/>
            <w:noWrap/>
            <w:vAlign w:val="center"/>
            <w:hideMark/>
          </w:tcPr>
          <w:p w14:paraId="152722B2" w14:textId="1D141442" w:rsidR="00D97E41" w:rsidRPr="00791519" w:rsidRDefault="00155365" w:rsidP="002424E4">
            <w:pPr>
              <w:spacing w:line="240" w:lineRule="auto"/>
              <w:jc w:val="center"/>
              <w:rPr>
                <w:rFonts w:cs="Times New Roman"/>
                <w:szCs w:val="22"/>
              </w:rPr>
            </w:pPr>
            <w:r w:rsidRPr="00791519">
              <w:rPr>
                <w:rFonts w:cs="Times New Roman"/>
                <w:szCs w:val="22"/>
              </w:rPr>
              <w:t>Š2</w:t>
            </w:r>
          </w:p>
        </w:tc>
        <w:tc>
          <w:tcPr>
            <w:tcW w:w="1134" w:type="dxa"/>
            <w:tcBorders>
              <w:top w:val="nil"/>
              <w:left w:val="single" w:sz="12" w:space="0" w:color="auto"/>
              <w:bottom w:val="single" w:sz="4" w:space="0" w:color="auto"/>
              <w:right w:val="single" w:sz="4" w:space="0" w:color="auto"/>
            </w:tcBorders>
            <w:shd w:val="clear" w:color="auto" w:fill="auto"/>
            <w:noWrap/>
            <w:vAlign w:val="center"/>
            <w:hideMark/>
          </w:tcPr>
          <w:p w14:paraId="196AB19A" w14:textId="1B0565DF" w:rsidR="00D97E41" w:rsidRPr="00791519" w:rsidRDefault="00E91A2B" w:rsidP="002424E4">
            <w:pPr>
              <w:spacing w:line="240" w:lineRule="auto"/>
              <w:jc w:val="center"/>
              <w:rPr>
                <w:rFonts w:cs="Times New Roman"/>
                <w:szCs w:val="22"/>
              </w:rPr>
            </w:pPr>
            <w:r w:rsidRPr="00791519">
              <w:rPr>
                <w:rFonts w:cs="Times New Roman"/>
                <w:szCs w:val="22"/>
              </w:rPr>
              <w:t>1,62</w:t>
            </w:r>
          </w:p>
        </w:tc>
        <w:tc>
          <w:tcPr>
            <w:tcW w:w="1100" w:type="dxa"/>
            <w:tcBorders>
              <w:top w:val="single" w:sz="4" w:space="0" w:color="auto"/>
              <w:left w:val="nil"/>
              <w:bottom w:val="single" w:sz="4" w:space="0" w:color="auto"/>
              <w:right w:val="single" w:sz="4" w:space="0" w:color="auto"/>
            </w:tcBorders>
            <w:vAlign w:val="center"/>
          </w:tcPr>
          <w:p w14:paraId="2D2C177F" w14:textId="77543AE0" w:rsidR="00D97E41" w:rsidRPr="00791519" w:rsidRDefault="00155365" w:rsidP="002424E4">
            <w:pPr>
              <w:spacing w:line="240" w:lineRule="auto"/>
              <w:jc w:val="center"/>
              <w:rPr>
                <w:rFonts w:cs="Times New Roman"/>
                <w:szCs w:val="22"/>
              </w:rPr>
            </w:pPr>
            <w:r w:rsidRPr="00791519">
              <w:rPr>
                <w:rFonts w:cs="Times New Roman"/>
                <w:szCs w:val="22"/>
              </w:rPr>
              <w:t>-</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0F8E1F9B" w14:textId="50BAD551" w:rsidR="00D97E41" w:rsidRPr="00791519" w:rsidRDefault="00E91A2B" w:rsidP="002424E4">
            <w:pPr>
              <w:spacing w:line="240" w:lineRule="auto"/>
              <w:jc w:val="center"/>
              <w:rPr>
                <w:rFonts w:cs="Times New Roman"/>
                <w:szCs w:val="22"/>
              </w:rPr>
            </w:pPr>
            <w:r w:rsidRPr="00791519">
              <w:rPr>
                <w:rFonts w:cs="Times New Roman"/>
                <w:szCs w:val="22"/>
              </w:rPr>
              <w:t>2,70</w:t>
            </w:r>
          </w:p>
        </w:tc>
        <w:tc>
          <w:tcPr>
            <w:tcW w:w="992" w:type="dxa"/>
            <w:tcBorders>
              <w:top w:val="nil"/>
              <w:left w:val="nil"/>
              <w:bottom w:val="single" w:sz="4" w:space="0" w:color="auto"/>
              <w:right w:val="single" w:sz="12" w:space="0" w:color="auto"/>
            </w:tcBorders>
            <w:shd w:val="clear" w:color="auto" w:fill="auto"/>
            <w:noWrap/>
            <w:vAlign w:val="center"/>
            <w:hideMark/>
          </w:tcPr>
          <w:p w14:paraId="5A5F4730" w14:textId="3DA7E5C1" w:rsidR="00D97E41" w:rsidRPr="00791519" w:rsidRDefault="00E91A2B" w:rsidP="002424E4">
            <w:pPr>
              <w:spacing w:line="240" w:lineRule="auto"/>
              <w:jc w:val="center"/>
              <w:rPr>
                <w:rFonts w:cs="Times New Roman"/>
                <w:szCs w:val="22"/>
              </w:rPr>
            </w:pPr>
            <w:r w:rsidRPr="00791519">
              <w:rPr>
                <w:rFonts w:cs="Times New Roman"/>
                <w:szCs w:val="22"/>
              </w:rPr>
              <w:t>4,32</w:t>
            </w:r>
          </w:p>
        </w:tc>
        <w:tc>
          <w:tcPr>
            <w:tcW w:w="1452" w:type="dxa"/>
            <w:tcBorders>
              <w:top w:val="nil"/>
              <w:left w:val="single" w:sz="12" w:space="0" w:color="auto"/>
              <w:bottom w:val="single" w:sz="4" w:space="0" w:color="auto"/>
              <w:right w:val="single" w:sz="4" w:space="0" w:color="auto"/>
            </w:tcBorders>
            <w:vAlign w:val="center"/>
          </w:tcPr>
          <w:p w14:paraId="143ADA07" w14:textId="77777777" w:rsidR="00D97E41" w:rsidRPr="00791519" w:rsidRDefault="00C42275" w:rsidP="002424E4">
            <w:pPr>
              <w:spacing w:line="240" w:lineRule="auto"/>
              <w:jc w:val="center"/>
              <w:rPr>
                <w:rFonts w:cs="Times New Roman"/>
                <w:szCs w:val="22"/>
              </w:rPr>
            </w:pPr>
            <w:r w:rsidRPr="00791519">
              <w:rPr>
                <w:rFonts w:cs="Times New Roman"/>
                <w:szCs w:val="22"/>
              </w:rPr>
              <w:t>1,0</w:t>
            </w:r>
          </w:p>
        </w:tc>
        <w:tc>
          <w:tcPr>
            <w:tcW w:w="1417" w:type="dxa"/>
            <w:tcBorders>
              <w:top w:val="nil"/>
              <w:left w:val="nil"/>
              <w:bottom w:val="single" w:sz="4" w:space="0" w:color="auto"/>
              <w:right w:val="single" w:sz="12" w:space="0" w:color="auto"/>
            </w:tcBorders>
            <w:vAlign w:val="center"/>
          </w:tcPr>
          <w:p w14:paraId="30CAED00" w14:textId="3B62A39B" w:rsidR="00D97E41" w:rsidRPr="00791519" w:rsidRDefault="00E91A2B" w:rsidP="002424E4">
            <w:pPr>
              <w:spacing w:line="240" w:lineRule="auto"/>
              <w:jc w:val="center"/>
              <w:rPr>
                <w:rFonts w:cs="Times New Roman"/>
                <w:szCs w:val="22"/>
              </w:rPr>
            </w:pPr>
            <w:r w:rsidRPr="00791519">
              <w:rPr>
                <w:rFonts w:cs="Times New Roman"/>
                <w:szCs w:val="22"/>
              </w:rPr>
              <w:t>1,3 x 1,2</w:t>
            </w:r>
          </w:p>
        </w:tc>
      </w:tr>
      <w:tr w:rsidR="00480360" w:rsidRPr="00791519" w14:paraId="1D425C53" w14:textId="77777777" w:rsidTr="002424E4">
        <w:trPr>
          <w:trHeight w:val="300"/>
        </w:trPr>
        <w:tc>
          <w:tcPr>
            <w:tcW w:w="898" w:type="dxa"/>
            <w:tcBorders>
              <w:top w:val="nil"/>
              <w:left w:val="single" w:sz="12" w:space="0" w:color="auto"/>
              <w:bottom w:val="single" w:sz="4" w:space="0" w:color="auto"/>
              <w:right w:val="single" w:sz="4" w:space="0" w:color="auto"/>
            </w:tcBorders>
            <w:shd w:val="clear" w:color="000000" w:fill="EAF1DD"/>
            <w:noWrap/>
            <w:vAlign w:val="center"/>
          </w:tcPr>
          <w:p w14:paraId="48278D20" w14:textId="2D895488" w:rsidR="00D97E41" w:rsidRPr="00791519" w:rsidRDefault="00E91A2B" w:rsidP="002424E4">
            <w:pPr>
              <w:spacing w:line="240" w:lineRule="auto"/>
              <w:jc w:val="center"/>
              <w:rPr>
                <w:rFonts w:cs="Times New Roman"/>
                <w:szCs w:val="22"/>
              </w:rPr>
            </w:pPr>
            <w:r w:rsidRPr="00791519">
              <w:rPr>
                <w:rFonts w:cs="Times New Roman"/>
                <w:szCs w:val="22"/>
              </w:rPr>
              <w:t>63525</w:t>
            </w:r>
          </w:p>
        </w:tc>
        <w:tc>
          <w:tcPr>
            <w:tcW w:w="960" w:type="dxa"/>
            <w:tcBorders>
              <w:top w:val="nil"/>
              <w:left w:val="nil"/>
              <w:bottom w:val="single" w:sz="4" w:space="0" w:color="auto"/>
              <w:right w:val="single" w:sz="12" w:space="0" w:color="auto"/>
            </w:tcBorders>
            <w:shd w:val="clear" w:color="000000" w:fill="EAF1DD"/>
            <w:noWrap/>
            <w:vAlign w:val="center"/>
          </w:tcPr>
          <w:p w14:paraId="305DE043" w14:textId="77777777" w:rsidR="00D97E41" w:rsidRPr="00791519" w:rsidRDefault="00D97E41" w:rsidP="002424E4">
            <w:pPr>
              <w:spacing w:line="240" w:lineRule="auto"/>
              <w:jc w:val="center"/>
              <w:rPr>
                <w:rFonts w:cs="Times New Roman"/>
                <w:szCs w:val="22"/>
              </w:rPr>
            </w:pPr>
            <w:r w:rsidRPr="00791519">
              <w:rPr>
                <w:rFonts w:cs="Times New Roman"/>
                <w:szCs w:val="22"/>
              </w:rPr>
              <w:t>Š3</w:t>
            </w:r>
          </w:p>
        </w:tc>
        <w:tc>
          <w:tcPr>
            <w:tcW w:w="1134" w:type="dxa"/>
            <w:tcBorders>
              <w:top w:val="nil"/>
              <w:left w:val="single" w:sz="12" w:space="0" w:color="auto"/>
              <w:bottom w:val="single" w:sz="4" w:space="0" w:color="auto"/>
              <w:right w:val="single" w:sz="4" w:space="0" w:color="auto"/>
            </w:tcBorders>
            <w:shd w:val="clear" w:color="auto" w:fill="auto"/>
            <w:noWrap/>
            <w:vAlign w:val="center"/>
          </w:tcPr>
          <w:p w14:paraId="1C7149CD" w14:textId="1ED2F5F9" w:rsidR="00D97E41" w:rsidRPr="00791519" w:rsidRDefault="00E91A2B" w:rsidP="002424E4">
            <w:pPr>
              <w:spacing w:line="240" w:lineRule="auto"/>
              <w:jc w:val="center"/>
              <w:rPr>
                <w:rFonts w:cs="Times New Roman"/>
                <w:szCs w:val="22"/>
              </w:rPr>
            </w:pPr>
            <w:r w:rsidRPr="00791519">
              <w:rPr>
                <w:rFonts w:cs="Times New Roman"/>
                <w:szCs w:val="22"/>
              </w:rPr>
              <w:t>3,10</w:t>
            </w:r>
          </w:p>
        </w:tc>
        <w:tc>
          <w:tcPr>
            <w:tcW w:w="1100" w:type="dxa"/>
            <w:tcBorders>
              <w:top w:val="single" w:sz="4" w:space="0" w:color="auto"/>
              <w:left w:val="nil"/>
              <w:bottom w:val="single" w:sz="4" w:space="0" w:color="auto"/>
              <w:right w:val="single" w:sz="4" w:space="0" w:color="auto"/>
            </w:tcBorders>
            <w:vAlign w:val="center"/>
          </w:tcPr>
          <w:p w14:paraId="412900AF" w14:textId="559127E2" w:rsidR="00D97E41" w:rsidRPr="00791519" w:rsidRDefault="00E91A2B" w:rsidP="002424E4">
            <w:pPr>
              <w:spacing w:line="240" w:lineRule="auto"/>
              <w:jc w:val="center"/>
              <w:rPr>
                <w:rFonts w:cs="Times New Roman"/>
                <w:szCs w:val="22"/>
              </w:rPr>
            </w:pPr>
            <w:r w:rsidRPr="00791519">
              <w:rPr>
                <w:rFonts w:cs="Times New Roman"/>
                <w:szCs w:val="22"/>
              </w:rPr>
              <w:t>1,30</w:t>
            </w:r>
          </w:p>
        </w:tc>
        <w:tc>
          <w:tcPr>
            <w:tcW w:w="1134" w:type="dxa"/>
            <w:tcBorders>
              <w:top w:val="nil"/>
              <w:left w:val="single" w:sz="4" w:space="0" w:color="auto"/>
              <w:bottom w:val="single" w:sz="4" w:space="0" w:color="auto"/>
              <w:right w:val="single" w:sz="4" w:space="0" w:color="auto"/>
            </w:tcBorders>
            <w:shd w:val="clear" w:color="auto" w:fill="auto"/>
            <w:noWrap/>
            <w:vAlign w:val="center"/>
          </w:tcPr>
          <w:p w14:paraId="5D0C10CA" w14:textId="6B1A7DB7" w:rsidR="00D97E41" w:rsidRPr="00791519" w:rsidRDefault="00155365" w:rsidP="002424E4">
            <w:pPr>
              <w:spacing w:line="240" w:lineRule="auto"/>
              <w:jc w:val="center"/>
              <w:rPr>
                <w:rFonts w:cs="Times New Roman"/>
                <w:szCs w:val="22"/>
              </w:rPr>
            </w:pPr>
            <w:r w:rsidRPr="00791519">
              <w:rPr>
                <w:rFonts w:cs="Times New Roman"/>
                <w:szCs w:val="22"/>
              </w:rPr>
              <w:t>-</w:t>
            </w:r>
          </w:p>
        </w:tc>
        <w:tc>
          <w:tcPr>
            <w:tcW w:w="992" w:type="dxa"/>
            <w:tcBorders>
              <w:top w:val="nil"/>
              <w:left w:val="nil"/>
              <w:bottom w:val="single" w:sz="4" w:space="0" w:color="auto"/>
              <w:right w:val="single" w:sz="12" w:space="0" w:color="auto"/>
            </w:tcBorders>
            <w:shd w:val="clear" w:color="auto" w:fill="auto"/>
            <w:noWrap/>
            <w:vAlign w:val="center"/>
          </w:tcPr>
          <w:p w14:paraId="32ECFFB5" w14:textId="2189F1C7" w:rsidR="00D97E41" w:rsidRPr="00791519" w:rsidRDefault="00E91A2B" w:rsidP="002424E4">
            <w:pPr>
              <w:spacing w:line="240" w:lineRule="auto"/>
              <w:jc w:val="center"/>
              <w:rPr>
                <w:rFonts w:cs="Times New Roman"/>
                <w:szCs w:val="22"/>
              </w:rPr>
            </w:pPr>
            <w:r w:rsidRPr="00791519">
              <w:rPr>
                <w:rFonts w:cs="Times New Roman"/>
                <w:szCs w:val="22"/>
              </w:rPr>
              <w:t>4,40</w:t>
            </w:r>
          </w:p>
        </w:tc>
        <w:tc>
          <w:tcPr>
            <w:tcW w:w="1452" w:type="dxa"/>
            <w:tcBorders>
              <w:top w:val="nil"/>
              <w:left w:val="single" w:sz="12" w:space="0" w:color="auto"/>
              <w:bottom w:val="single" w:sz="4" w:space="0" w:color="auto"/>
              <w:right w:val="single" w:sz="4" w:space="0" w:color="auto"/>
            </w:tcBorders>
            <w:vAlign w:val="center"/>
          </w:tcPr>
          <w:p w14:paraId="491A92ED" w14:textId="77777777" w:rsidR="00D97E41" w:rsidRPr="00791519" w:rsidRDefault="00617F5A" w:rsidP="002424E4">
            <w:pPr>
              <w:spacing w:line="240" w:lineRule="auto"/>
              <w:jc w:val="center"/>
              <w:rPr>
                <w:rFonts w:cs="Times New Roman"/>
                <w:szCs w:val="22"/>
              </w:rPr>
            </w:pPr>
            <w:r w:rsidRPr="00791519">
              <w:rPr>
                <w:rFonts w:cs="Times New Roman"/>
                <w:szCs w:val="22"/>
              </w:rPr>
              <w:t>1,0</w:t>
            </w:r>
          </w:p>
        </w:tc>
        <w:tc>
          <w:tcPr>
            <w:tcW w:w="1417" w:type="dxa"/>
            <w:tcBorders>
              <w:top w:val="nil"/>
              <w:left w:val="nil"/>
              <w:bottom w:val="single" w:sz="4" w:space="0" w:color="auto"/>
              <w:right w:val="single" w:sz="12" w:space="0" w:color="auto"/>
            </w:tcBorders>
            <w:vAlign w:val="center"/>
          </w:tcPr>
          <w:p w14:paraId="1B837594" w14:textId="0FF41833" w:rsidR="00D97E41" w:rsidRPr="00791519" w:rsidRDefault="00E91A2B" w:rsidP="002424E4">
            <w:pPr>
              <w:spacing w:line="240" w:lineRule="auto"/>
              <w:jc w:val="center"/>
              <w:rPr>
                <w:rFonts w:cs="Times New Roman"/>
                <w:szCs w:val="22"/>
              </w:rPr>
            </w:pPr>
            <w:r w:rsidRPr="00791519">
              <w:rPr>
                <w:rFonts w:cs="Times New Roman"/>
                <w:szCs w:val="22"/>
              </w:rPr>
              <w:t>1,0</w:t>
            </w:r>
          </w:p>
        </w:tc>
      </w:tr>
      <w:tr w:rsidR="00480360" w:rsidRPr="00791519" w14:paraId="0635E344" w14:textId="77777777" w:rsidTr="002424E4">
        <w:trPr>
          <w:trHeight w:val="300"/>
        </w:trPr>
        <w:tc>
          <w:tcPr>
            <w:tcW w:w="898" w:type="dxa"/>
            <w:tcBorders>
              <w:top w:val="nil"/>
              <w:left w:val="single" w:sz="12" w:space="0" w:color="auto"/>
              <w:bottom w:val="single" w:sz="4" w:space="0" w:color="auto"/>
              <w:right w:val="single" w:sz="4" w:space="0" w:color="auto"/>
            </w:tcBorders>
            <w:shd w:val="clear" w:color="000000" w:fill="EAF1DD"/>
            <w:noWrap/>
            <w:vAlign w:val="center"/>
          </w:tcPr>
          <w:p w14:paraId="15DCA06A" w14:textId="666175A9" w:rsidR="00D97E41" w:rsidRPr="00791519" w:rsidRDefault="00E91A2B" w:rsidP="002424E4">
            <w:pPr>
              <w:spacing w:line="240" w:lineRule="auto"/>
              <w:jc w:val="center"/>
              <w:rPr>
                <w:rFonts w:cs="Times New Roman"/>
                <w:szCs w:val="22"/>
              </w:rPr>
            </w:pPr>
            <w:r w:rsidRPr="00791519">
              <w:rPr>
                <w:rFonts w:cs="Times New Roman"/>
                <w:szCs w:val="22"/>
              </w:rPr>
              <w:t>63526</w:t>
            </w:r>
          </w:p>
        </w:tc>
        <w:tc>
          <w:tcPr>
            <w:tcW w:w="960" w:type="dxa"/>
            <w:tcBorders>
              <w:top w:val="nil"/>
              <w:left w:val="nil"/>
              <w:bottom w:val="single" w:sz="4" w:space="0" w:color="auto"/>
              <w:right w:val="single" w:sz="12" w:space="0" w:color="auto"/>
            </w:tcBorders>
            <w:shd w:val="clear" w:color="000000" w:fill="EAF1DD"/>
            <w:noWrap/>
            <w:vAlign w:val="center"/>
          </w:tcPr>
          <w:p w14:paraId="4C02C831" w14:textId="77777777" w:rsidR="00D97E41" w:rsidRPr="00791519" w:rsidRDefault="00D97E41" w:rsidP="002424E4">
            <w:pPr>
              <w:spacing w:line="240" w:lineRule="auto"/>
              <w:jc w:val="center"/>
              <w:rPr>
                <w:rFonts w:cs="Times New Roman"/>
                <w:szCs w:val="22"/>
              </w:rPr>
            </w:pPr>
            <w:r w:rsidRPr="00791519">
              <w:rPr>
                <w:rFonts w:cs="Times New Roman"/>
                <w:szCs w:val="22"/>
              </w:rPr>
              <w:t>Š4</w:t>
            </w:r>
          </w:p>
        </w:tc>
        <w:tc>
          <w:tcPr>
            <w:tcW w:w="1134" w:type="dxa"/>
            <w:tcBorders>
              <w:top w:val="nil"/>
              <w:left w:val="single" w:sz="12" w:space="0" w:color="auto"/>
              <w:bottom w:val="single" w:sz="4" w:space="0" w:color="auto"/>
              <w:right w:val="single" w:sz="4" w:space="0" w:color="auto"/>
            </w:tcBorders>
            <w:shd w:val="clear" w:color="auto" w:fill="auto"/>
            <w:noWrap/>
            <w:vAlign w:val="center"/>
          </w:tcPr>
          <w:p w14:paraId="21C6D6CB" w14:textId="2649FF78" w:rsidR="00D97E41" w:rsidRPr="00791519" w:rsidRDefault="00E91A2B" w:rsidP="002424E4">
            <w:pPr>
              <w:spacing w:line="240" w:lineRule="auto"/>
              <w:jc w:val="center"/>
              <w:rPr>
                <w:rFonts w:cs="Times New Roman"/>
                <w:szCs w:val="22"/>
              </w:rPr>
            </w:pPr>
            <w:r w:rsidRPr="00791519">
              <w:rPr>
                <w:rFonts w:cs="Times New Roman"/>
                <w:szCs w:val="22"/>
              </w:rPr>
              <w:t>3,03</w:t>
            </w:r>
          </w:p>
        </w:tc>
        <w:tc>
          <w:tcPr>
            <w:tcW w:w="1100" w:type="dxa"/>
            <w:tcBorders>
              <w:top w:val="single" w:sz="4" w:space="0" w:color="auto"/>
              <w:left w:val="nil"/>
              <w:bottom w:val="single" w:sz="4" w:space="0" w:color="auto"/>
              <w:right w:val="single" w:sz="4" w:space="0" w:color="auto"/>
            </w:tcBorders>
            <w:vAlign w:val="center"/>
          </w:tcPr>
          <w:p w14:paraId="642AFF2A" w14:textId="2FDD1F3E" w:rsidR="00D97E41" w:rsidRPr="00791519" w:rsidRDefault="00E91A2B" w:rsidP="002424E4">
            <w:pPr>
              <w:spacing w:line="240" w:lineRule="auto"/>
              <w:jc w:val="center"/>
              <w:rPr>
                <w:rFonts w:cs="Times New Roman"/>
                <w:szCs w:val="22"/>
              </w:rPr>
            </w:pPr>
            <w:r w:rsidRPr="00791519">
              <w:rPr>
                <w:rFonts w:cs="Times New Roman"/>
                <w:szCs w:val="22"/>
              </w:rPr>
              <w:t>1,30</w:t>
            </w:r>
          </w:p>
        </w:tc>
        <w:tc>
          <w:tcPr>
            <w:tcW w:w="1134" w:type="dxa"/>
            <w:tcBorders>
              <w:top w:val="nil"/>
              <w:left w:val="single" w:sz="4" w:space="0" w:color="auto"/>
              <w:bottom w:val="single" w:sz="4" w:space="0" w:color="auto"/>
              <w:right w:val="single" w:sz="4" w:space="0" w:color="auto"/>
            </w:tcBorders>
            <w:shd w:val="clear" w:color="auto" w:fill="auto"/>
            <w:noWrap/>
            <w:vAlign w:val="center"/>
          </w:tcPr>
          <w:p w14:paraId="608BCACB" w14:textId="6241D46A" w:rsidR="00D97E41" w:rsidRPr="00791519" w:rsidRDefault="00155365" w:rsidP="002424E4">
            <w:pPr>
              <w:spacing w:line="240" w:lineRule="auto"/>
              <w:jc w:val="center"/>
              <w:rPr>
                <w:rFonts w:cs="Times New Roman"/>
                <w:szCs w:val="22"/>
              </w:rPr>
            </w:pPr>
            <w:r w:rsidRPr="00791519">
              <w:rPr>
                <w:rFonts w:cs="Times New Roman"/>
                <w:szCs w:val="22"/>
              </w:rPr>
              <w:t>-</w:t>
            </w:r>
          </w:p>
        </w:tc>
        <w:tc>
          <w:tcPr>
            <w:tcW w:w="992" w:type="dxa"/>
            <w:tcBorders>
              <w:top w:val="nil"/>
              <w:left w:val="nil"/>
              <w:bottom w:val="single" w:sz="4" w:space="0" w:color="auto"/>
              <w:right w:val="single" w:sz="12" w:space="0" w:color="auto"/>
            </w:tcBorders>
            <w:shd w:val="clear" w:color="auto" w:fill="auto"/>
            <w:noWrap/>
            <w:vAlign w:val="center"/>
          </w:tcPr>
          <w:p w14:paraId="6DEFB418" w14:textId="076FCF95" w:rsidR="00D97E41" w:rsidRPr="00791519" w:rsidRDefault="00E91A2B" w:rsidP="002424E4">
            <w:pPr>
              <w:spacing w:line="240" w:lineRule="auto"/>
              <w:jc w:val="center"/>
              <w:rPr>
                <w:rFonts w:cs="Times New Roman"/>
                <w:szCs w:val="22"/>
              </w:rPr>
            </w:pPr>
            <w:r w:rsidRPr="00791519">
              <w:rPr>
                <w:rFonts w:cs="Times New Roman"/>
                <w:szCs w:val="22"/>
              </w:rPr>
              <w:t>4,33</w:t>
            </w:r>
          </w:p>
        </w:tc>
        <w:tc>
          <w:tcPr>
            <w:tcW w:w="1452" w:type="dxa"/>
            <w:tcBorders>
              <w:top w:val="nil"/>
              <w:left w:val="single" w:sz="12" w:space="0" w:color="auto"/>
              <w:bottom w:val="single" w:sz="4" w:space="0" w:color="auto"/>
              <w:right w:val="single" w:sz="4" w:space="0" w:color="auto"/>
            </w:tcBorders>
            <w:vAlign w:val="center"/>
          </w:tcPr>
          <w:p w14:paraId="1FDD0192" w14:textId="77777777" w:rsidR="00D97E41" w:rsidRPr="00791519" w:rsidRDefault="009371EB" w:rsidP="002424E4">
            <w:pPr>
              <w:spacing w:line="240" w:lineRule="auto"/>
              <w:jc w:val="center"/>
              <w:rPr>
                <w:rFonts w:cs="Times New Roman"/>
                <w:szCs w:val="22"/>
              </w:rPr>
            </w:pPr>
            <w:r w:rsidRPr="00791519">
              <w:rPr>
                <w:rFonts w:cs="Times New Roman"/>
                <w:szCs w:val="22"/>
              </w:rPr>
              <w:t>1,0</w:t>
            </w:r>
          </w:p>
        </w:tc>
        <w:tc>
          <w:tcPr>
            <w:tcW w:w="1417" w:type="dxa"/>
            <w:tcBorders>
              <w:top w:val="nil"/>
              <w:left w:val="nil"/>
              <w:bottom w:val="single" w:sz="4" w:space="0" w:color="auto"/>
              <w:right w:val="single" w:sz="12" w:space="0" w:color="auto"/>
            </w:tcBorders>
            <w:vAlign w:val="center"/>
          </w:tcPr>
          <w:p w14:paraId="7C91F376" w14:textId="68EF54BF" w:rsidR="00D97E41" w:rsidRPr="00791519" w:rsidRDefault="00155365" w:rsidP="002424E4">
            <w:pPr>
              <w:spacing w:line="240" w:lineRule="auto"/>
              <w:jc w:val="center"/>
              <w:rPr>
                <w:rFonts w:cs="Times New Roman"/>
                <w:szCs w:val="22"/>
              </w:rPr>
            </w:pPr>
            <w:r w:rsidRPr="00791519">
              <w:rPr>
                <w:rFonts w:cs="Times New Roman"/>
                <w:szCs w:val="22"/>
              </w:rPr>
              <w:t>1,0</w:t>
            </w:r>
          </w:p>
        </w:tc>
      </w:tr>
      <w:tr w:rsidR="00480360" w:rsidRPr="00791519" w14:paraId="3A56B023" w14:textId="77777777" w:rsidTr="002424E4">
        <w:trPr>
          <w:trHeight w:val="300"/>
        </w:trPr>
        <w:tc>
          <w:tcPr>
            <w:tcW w:w="898" w:type="dxa"/>
            <w:tcBorders>
              <w:top w:val="nil"/>
              <w:left w:val="single" w:sz="12" w:space="0" w:color="auto"/>
              <w:bottom w:val="single" w:sz="4" w:space="0" w:color="auto"/>
              <w:right w:val="single" w:sz="4" w:space="0" w:color="auto"/>
            </w:tcBorders>
            <w:shd w:val="clear" w:color="000000" w:fill="EAF1DD"/>
            <w:noWrap/>
            <w:vAlign w:val="center"/>
          </w:tcPr>
          <w:p w14:paraId="5C5C62AC" w14:textId="3C120A5B" w:rsidR="00D97E41" w:rsidRPr="00791519" w:rsidRDefault="00E91A2B" w:rsidP="002424E4">
            <w:pPr>
              <w:spacing w:line="240" w:lineRule="auto"/>
              <w:jc w:val="center"/>
              <w:rPr>
                <w:rFonts w:cs="Times New Roman"/>
                <w:szCs w:val="22"/>
              </w:rPr>
            </w:pPr>
            <w:r w:rsidRPr="00791519">
              <w:rPr>
                <w:rFonts w:cs="Times New Roman"/>
                <w:szCs w:val="22"/>
              </w:rPr>
              <w:t>3746158</w:t>
            </w:r>
          </w:p>
        </w:tc>
        <w:tc>
          <w:tcPr>
            <w:tcW w:w="960" w:type="dxa"/>
            <w:tcBorders>
              <w:top w:val="nil"/>
              <w:left w:val="nil"/>
              <w:bottom w:val="single" w:sz="4" w:space="0" w:color="auto"/>
              <w:right w:val="single" w:sz="12" w:space="0" w:color="auto"/>
            </w:tcBorders>
            <w:shd w:val="clear" w:color="000000" w:fill="EAF1DD"/>
            <w:noWrap/>
            <w:vAlign w:val="center"/>
          </w:tcPr>
          <w:p w14:paraId="5F423873" w14:textId="77777777" w:rsidR="00D97E41" w:rsidRPr="00791519" w:rsidRDefault="00D97E41" w:rsidP="002424E4">
            <w:pPr>
              <w:spacing w:line="240" w:lineRule="auto"/>
              <w:jc w:val="center"/>
              <w:rPr>
                <w:rFonts w:cs="Times New Roman"/>
                <w:szCs w:val="22"/>
              </w:rPr>
            </w:pPr>
            <w:r w:rsidRPr="00791519">
              <w:rPr>
                <w:rFonts w:cs="Times New Roman"/>
                <w:szCs w:val="22"/>
              </w:rPr>
              <w:t>Š5</w:t>
            </w:r>
          </w:p>
        </w:tc>
        <w:tc>
          <w:tcPr>
            <w:tcW w:w="1134" w:type="dxa"/>
            <w:tcBorders>
              <w:top w:val="nil"/>
              <w:left w:val="single" w:sz="12" w:space="0" w:color="auto"/>
              <w:bottom w:val="single" w:sz="4" w:space="0" w:color="auto"/>
              <w:right w:val="single" w:sz="4" w:space="0" w:color="auto"/>
            </w:tcBorders>
            <w:shd w:val="clear" w:color="auto" w:fill="auto"/>
            <w:noWrap/>
            <w:vAlign w:val="center"/>
          </w:tcPr>
          <w:p w14:paraId="0A7C7710" w14:textId="22457E08" w:rsidR="00D97E41" w:rsidRPr="00791519" w:rsidRDefault="00E91A2B" w:rsidP="002424E4">
            <w:pPr>
              <w:spacing w:line="240" w:lineRule="auto"/>
              <w:jc w:val="center"/>
              <w:rPr>
                <w:rFonts w:cs="Times New Roman"/>
                <w:szCs w:val="22"/>
              </w:rPr>
            </w:pPr>
            <w:r w:rsidRPr="00791519">
              <w:rPr>
                <w:rFonts w:cs="Times New Roman"/>
                <w:szCs w:val="22"/>
              </w:rPr>
              <w:t>3,03</w:t>
            </w:r>
          </w:p>
        </w:tc>
        <w:tc>
          <w:tcPr>
            <w:tcW w:w="1100" w:type="dxa"/>
            <w:tcBorders>
              <w:top w:val="single" w:sz="4" w:space="0" w:color="auto"/>
              <w:left w:val="nil"/>
              <w:bottom w:val="single" w:sz="4" w:space="0" w:color="auto"/>
              <w:right w:val="single" w:sz="4" w:space="0" w:color="auto"/>
            </w:tcBorders>
            <w:vAlign w:val="center"/>
          </w:tcPr>
          <w:p w14:paraId="63F047C6" w14:textId="3CEB6580" w:rsidR="00D97E41" w:rsidRPr="00791519" w:rsidRDefault="00E91A2B" w:rsidP="002424E4">
            <w:pPr>
              <w:spacing w:line="240" w:lineRule="auto"/>
              <w:jc w:val="center"/>
              <w:rPr>
                <w:rFonts w:cs="Times New Roman"/>
                <w:szCs w:val="22"/>
              </w:rPr>
            </w:pPr>
            <w:r w:rsidRPr="00791519">
              <w:rPr>
                <w:rFonts w:cs="Times New Roman"/>
                <w:szCs w:val="22"/>
              </w:rPr>
              <w:t>1,30</w:t>
            </w:r>
          </w:p>
        </w:tc>
        <w:tc>
          <w:tcPr>
            <w:tcW w:w="1134" w:type="dxa"/>
            <w:tcBorders>
              <w:top w:val="nil"/>
              <w:left w:val="single" w:sz="4" w:space="0" w:color="auto"/>
              <w:bottom w:val="single" w:sz="4" w:space="0" w:color="auto"/>
              <w:right w:val="single" w:sz="4" w:space="0" w:color="auto"/>
            </w:tcBorders>
            <w:shd w:val="clear" w:color="auto" w:fill="auto"/>
            <w:noWrap/>
            <w:vAlign w:val="center"/>
          </w:tcPr>
          <w:p w14:paraId="13FE6228" w14:textId="5650D408" w:rsidR="00D97E41" w:rsidRPr="00791519" w:rsidRDefault="00155365" w:rsidP="002424E4">
            <w:pPr>
              <w:spacing w:line="240" w:lineRule="auto"/>
              <w:jc w:val="center"/>
              <w:rPr>
                <w:rFonts w:cs="Times New Roman"/>
                <w:szCs w:val="22"/>
              </w:rPr>
            </w:pPr>
            <w:r w:rsidRPr="00791519">
              <w:rPr>
                <w:rFonts w:cs="Times New Roman"/>
                <w:szCs w:val="22"/>
              </w:rPr>
              <w:t>-</w:t>
            </w:r>
          </w:p>
        </w:tc>
        <w:tc>
          <w:tcPr>
            <w:tcW w:w="992" w:type="dxa"/>
            <w:tcBorders>
              <w:top w:val="nil"/>
              <w:left w:val="nil"/>
              <w:bottom w:val="single" w:sz="4" w:space="0" w:color="auto"/>
              <w:right w:val="single" w:sz="12" w:space="0" w:color="auto"/>
            </w:tcBorders>
            <w:shd w:val="clear" w:color="auto" w:fill="auto"/>
            <w:noWrap/>
            <w:vAlign w:val="center"/>
          </w:tcPr>
          <w:p w14:paraId="2108493D" w14:textId="52711DB3" w:rsidR="00D97E41" w:rsidRPr="00791519" w:rsidRDefault="00E91A2B" w:rsidP="002424E4">
            <w:pPr>
              <w:spacing w:line="240" w:lineRule="auto"/>
              <w:jc w:val="center"/>
              <w:rPr>
                <w:rFonts w:cs="Times New Roman"/>
                <w:szCs w:val="22"/>
              </w:rPr>
            </w:pPr>
            <w:r w:rsidRPr="00791519">
              <w:rPr>
                <w:rFonts w:cs="Times New Roman"/>
                <w:szCs w:val="22"/>
              </w:rPr>
              <w:t>4,33</w:t>
            </w:r>
          </w:p>
        </w:tc>
        <w:tc>
          <w:tcPr>
            <w:tcW w:w="1452" w:type="dxa"/>
            <w:tcBorders>
              <w:top w:val="nil"/>
              <w:left w:val="single" w:sz="12" w:space="0" w:color="auto"/>
              <w:bottom w:val="single" w:sz="4" w:space="0" w:color="auto"/>
              <w:right w:val="single" w:sz="4" w:space="0" w:color="auto"/>
            </w:tcBorders>
            <w:vAlign w:val="center"/>
          </w:tcPr>
          <w:p w14:paraId="55EE5F2F" w14:textId="77777777" w:rsidR="00D97E41" w:rsidRPr="00791519" w:rsidRDefault="009371EB" w:rsidP="002424E4">
            <w:pPr>
              <w:spacing w:line="240" w:lineRule="auto"/>
              <w:jc w:val="center"/>
              <w:rPr>
                <w:rFonts w:cs="Times New Roman"/>
                <w:szCs w:val="22"/>
              </w:rPr>
            </w:pPr>
            <w:r w:rsidRPr="00791519">
              <w:rPr>
                <w:rFonts w:cs="Times New Roman"/>
                <w:szCs w:val="22"/>
              </w:rPr>
              <w:t>1,0</w:t>
            </w:r>
          </w:p>
        </w:tc>
        <w:tc>
          <w:tcPr>
            <w:tcW w:w="1417" w:type="dxa"/>
            <w:tcBorders>
              <w:top w:val="nil"/>
              <w:left w:val="nil"/>
              <w:bottom w:val="single" w:sz="4" w:space="0" w:color="auto"/>
              <w:right w:val="single" w:sz="12" w:space="0" w:color="auto"/>
            </w:tcBorders>
            <w:vAlign w:val="center"/>
          </w:tcPr>
          <w:p w14:paraId="34C6667E" w14:textId="2FD256A6" w:rsidR="00D97E41" w:rsidRPr="00791519" w:rsidRDefault="00155365" w:rsidP="002424E4">
            <w:pPr>
              <w:spacing w:line="240" w:lineRule="auto"/>
              <w:jc w:val="center"/>
              <w:rPr>
                <w:rFonts w:cs="Times New Roman"/>
                <w:szCs w:val="22"/>
              </w:rPr>
            </w:pPr>
            <w:r w:rsidRPr="00791519">
              <w:rPr>
                <w:rFonts w:cs="Times New Roman"/>
                <w:szCs w:val="22"/>
              </w:rPr>
              <w:t>1,0</w:t>
            </w:r>
          </w:p>
        </w:tc>
      </w:tr>
      <w:tr w:rsidR="00A106AC" w:rsidRPr="00791519" w14:paraId="06531788" w14:textId="77777777" w:rsidTr="00E91A2B">
        <w:trPr>
          <w:trHeight w:val="300"/>
        </w:trPr>
        <w:tc>
          <w:tcPr>
            <w:tcW w:w="898" w:type="dxa"/>
            <w:tcBorders>
              <w:top w:val="nil"/>
              <w:left w:val="single" w:sz="12" w:space="0" w:color="auto"/>
              <w:bottom w:val="single" w:sz="4" w:space="0" w:color="auto"/>
              <w:right w:val="single" w:sz="4" w:space="0" w:color="auto"/>
            </w:tcBorders>
            <w:shd w:val="clear" w:color="000000" w:fill="EAF1DD"/>
            <w:noWrap/>
            <w:vAlign w:val="center"/>
          </w:tcPr>
          <w:p w14:paraId="0885E6C4" w14:textId="574B992C" w:rsidR="00A106AC" w:rsidRPr="00791519" w:rsidRDefault="00A106AC" w:rsidP="002424E4">
            <w:pPr>
              <w:spacing w:line="240" w:lineRule="auto"/>
              <w:jc w:val="center"/>
              <w:rPr>
                <w:rFonts w:cs="Times New Roman"/>
                <w:szCs w:val="22"/>
              </w:rPr>
            </w:pPr>
            <w:r w:rsidRPr="00791519">
              <w:rPr>
                <w:rFonts w:cs="Times New Roman"/>
                <w:szCs w:val="22"/>
              </w:rPr>
              <w:t>3754998</w:t>
            </w:r>
          </w:p>
        </w:tc>
        <w:tc>
          <w:tcPr>
            <w:tcW w:w="960" w:type="dxa"/>
            <w:tcBorders>
              <w:top w:val="nil"/>
              <w:left w:val="nil"/>
              <w:bottom w:val="single" w:sz="4" w:space="0" w:color="auto"/>
              <w:right w:val="single" w:sz="12" w:space="0" w:color="auto"/>
            </w:tcBorders>
            <w:shd w:val="clear" w:color="000000" w:fill="EAF1DD"/>
            <w:noWrap/>
            <w:vAlign w:val="center"/>
          </w:tcPr>
          <w:p w14:paraId="13F2A6AD" w14:textId="5686307C" w:rsidR="00A106AC" w:rsidRPr="00791519" w:rsidRDefault="00A106AC" w:rsidP="002424E4">
            <w:pPr>
              <w:spacing w:line="240" w:lineRule="auto"/>
              <w:jc w:val="center"/>
              <w:rPr>
                <w:rFonts w:cs="Times New Roman"/>
                <w:szCs w:val="22"/>
              </w:rPr>
            </w:pPr>
            <w:r w:rsidRPr="00791519">
              <w:rPr>
                <w:rFonts w:cs="Times New Roman"/>
                <w:szCs w:val="22"/>
              </w:rPr>
              <w:t>Š6</w:t>
            </w:r>
          </w:p>
        </w:tc>
        <w:tc>
          <w:tcPr>
            <w:tcW w:w="1134" w:type="dxa"/>
            <w:tcBorders>
              <w:top w:val="nil"/>
              <w:left w:val="single" w:sz="12" w:space="0" w:color="auto"/>
              <w:bottom w:val="single" w:sz="4" w:space="0" w:color="auto"/>
              <w:right w:val="single" w:sz="4" w:space="0" w:color="auto"/>
            </w:tcBorders>
            <w:shd w:val="clear" w:color="auto" w:fill="auto"/>
            <w:noWrap/>
            <w:vAlign w:val="center"/>
          </w:tcPr>
          <w:p w14:paraId="5EF0FA89" w14:textId="335F3D96" w:rsidR="00A106AC" w:rsidRPr="00791519" w:rsidRDefault="00A106AC" w:rsidP="002424E4">
            <w:pPr>
              <w:spacing w:line="240" w:lineRule="auto"/>
              <w:jc w:val="center"/>
              <w:rPr>
                <w:rFonts w:cs="Times New Roman"/>
                <w:szCs w:val="22"/>
              </w:rPr>
            </w:pPr>
            <w:r w:rsidRPr="00791519">
              <w:rPr>
                <w:rFonts w:cs="Times New Roman"/>
                <w:szCs w:val="22"/>
              </w:rPr>
              <w:t>-</w:t>
            </w:r>
          </w:p>
        </w:tc>
        <w:tc>
          <w:tcPr>
            <w:tcW w:w="1100" w:type="dxa"/>
            <w:tcBorders>
              <w:top w:val="single" w:sz="4" w:space="0" w:color="auto"/>
              <w:left w:val="nil"/>
              <w:bottom w:val="single" w:sz="4" w:space="0" w:color="auto"/>
              <w:right w:val="single" w:sz="4" w:space="0" w:color="auto"/>
            </w:tcBorders>
            <w:vAlign w:val="center"/>
          </w:tcPr>
          <w:p w14:paraId="5DC842BE" w14:textId="24E852E3" w:rsidR="00A106AC" w:rsidRPr="00791519" w:rsidRDefault="00A106AC" w:rsidP="002424E4">
            <w:pPr>
              <w:spacing w:line="240" w:lineRule="auto"/>
              <w:jc w:val="center"/>
              <w:rPr>
                <w:rFonts w:cs="Times New Roman"/>
                <w:szCs w:val="22"/>
              </w:rPr>
            </w:pPr>
            <w:r w:rsidRPr="00791519">
              <w:rPr>
                <w:rFonts w:cs="Times New Roman"/>
                <w:szCs w:val="22"/>
              </w:rPr>
              <w:t>1,00</w:t>
            </w:r>
          </w:p>
        </w:tc>
        <w:tc>
          <w:tcPr>
            <w:tcW w:w="1134" w:type="dxa"/>
            <w:tcBorders>
              <w:top w:val="nil"/>
              <w:left w:val="single" w:sz="4" w:space="0" w:color="auto"/>
              <w:bottom w:val="single" w:sz="4" w:space="0" w:color="auto"/>
              <w:right w:val="single" w:sz="4" w:space="0" w:color="auto"/>
            </w:tcBorders>
            <w:shd w:val="clear" w:color="auto" w:fill="auto"/>
            <w:noWrap/>
            <w:vAlign w:val="center"/>
          </w:tcPr>
          <w:p w14:paraId="66B55F38" w14:textId="1C3F32EF" w:rsidR="00A106AC" w:rsidRPr="00791519" w:rsidRDefault="00A106AC" w:rsidP="002424E4">
            <w:pPr>
              <w:spacing w:line="240" w:lineRule="auto"/>
              <w:jc w:val="center"/>
              <w:rPr>
                <w:rFonts w:cs="Times New Roman"/>
                <w:szCs w:val="22"/>
              </w:rPr>
            </w:pPr>
            <w:r w:rsidRPr="00791519">
              <w:rPr>
                <w:rFonts w:cs="Times New Roman"/>
                <w:szCs w:val="22"/>
              </w:rPr>
              <w:t>-</w:t>
            </w:r>
          </w:p>
        </w:tc>
        <w:tc>
          <w:tcPr>
            <w:tcW w:w="992" w:type="dxa"/>
            <w:tcBorders>
              <w:top w:val="nil"/>
              <w:left w:val="nil"/>
              <w:bottom w:val="single" w:sz="4" w:space="0" w:color="auto"/>
              <w:right w:val="single" w:sz="12" w:space="0" w:color="auto"/>
            </w:tcBorders>
            <w:shd w:val="clear" w:color="auto" w:fill="auto"/>
            <w:noWrap/>
            <w:vAlign w:val="center"/>
          </w:tcPr>
          <w:p w14:paraId="5712CC45" w14:textId="20F1E494" w:rsidR="00A106AC" w:rsidRPr="00791519" w:rsidRDefault="00A106AC" w:rsidP="002424E4">
            <w:pPr>
              <w:spacing w:line="240" w:lineRule="auto"/>
              <w:jc w:val="center"/>
              <w:rPr>
                <w:rFonts w:cs="Times New Roman"/>
                <w:szCs w:val="22"/>
              </w:rPr>
            </w:pPr>
            <w:r w:rsidRPr="00791519">
              <w:rPr>
                <w:rFonts w:cs="Times New Roman"/>
                <w:szCs w:val="22"/>
              </w:rPr>
              <w:t>1,00</w:t>
            </w:r>
          </w:p>
        </w:tc>
        <w:tc>
          <w:tcPr>
            <w:tcW w:w="1452" w:type="dxa"/>
            <w:tcBorders>
              <w:top w:val="nil"/>
              <w:left w:val="single" w:sz="12" w:space="0" w:color="auto"/>
              <w:bottom w:val="single" w:sz="4" w:space="0" w:color="auto"/>
              <w:right w:val="single" w:sz="4" w:space="0" w:color="auto"/>
            </w:tcBorders>
            <w:vAlign w:val="center"/>
          </w:tcPr>
          <w:p w14:paraId="0733669C" w14:textId="2B311F35" w:rsidR="00A106AC" w:rsidRPr="00791519" w:rsidRDefault="00A106AC" w:rsidP="002424E4">
            <w:pPr>
              <w:spacing w:line="240" w:lineRule="auto"/>
              <w:jc w:val="center"/>
              <w:rPr>
                <w:rFonts w:cs="Times New Roman"/>
                <w:szCs w:val="22"/>
              </w:rPr>
            </w:pPr>
            <w:r w:rsidRPr="00791519">
              <w:rPr>
                <w:rFonts w:cs="Times New Roman"/>
                <w:szCs w:val="22"/>
              </w:rPr>
              <w:t>-</w:t>
            </w:r>
          </w:p>
        </w:tc>
        <w:tc>
          <w:tcPr>
            <w:tcW w:w="1417" w:type="dxa"/>
            <w:tcBorders>
              <w:top w:val="nil"/>
              <w:left w:val="nil"/>
              <w:bottom w:val="single" w:sz="4" w:space="0" w:color="auto"/>
              <w:right w:val="single" w:sz="12" w:space="0" w:color="auto"/>
            </w:tcBorders>
            <w:vAlign w:val="center"/>
          </w:tcPr>
          <w:p w14:paraId="59F42598" w14:textId="7CE878BB" w:rsidR="00A106AC" w:rsidRPr="00791519" w:rsidRDefault="00A106AC" w:rsidP="002424E4">
            <w:pPr>
              <w:spacing w:line="240" w:lineRule="auto"/>
              <w:jc w:val="center"/>
              <w:rPr>
                <w:rFonts w:cs="Times New Roman"/>
                <w:szCs w:val="22"/>
              </w:rPr>
            </w:pPr>
            <w:r w:rsidRPr="00791519">
              <w:rPr>
                <w:rFonts w:cs="Times New Roman"/>
                <w:szCs w:val="22"/>
              </w:rPr>
              <w:t>1,0</w:t>
            </w:r>
          </w:p>
        </w:tc>
      </w:tr>
      <w:tr w:rsidR="00480360" w:rsidRPr="00791519" w14:paraId="6D684410" w14:textId="77777777" w:rsidTr="00E91A2B">
        <w:trPr>
          <w:trHeight w:val="300"/>
        </w:trPr>
        <w:tc>
          <w:tcPr>
            <w:tcW w:w="898" w:type="dxa"/>
            <w:tcBorders>
              <w:top w:val="nil"/>
              <w:left w:val="single" w:sz="12" w:space="0" w:color="auto"/>
              <w:bottom w:val="single" w:sz="4" w:space="0" w:color="auto"/>
              <w:right w:val="single" w:sz="4" w:space="0" w:color="auto"/>
            </w:tcBorders>
            <w:shd w:val="clear" w:color="000000" w:fill="EAF1DD"/>
            <w:noWrap/>
            <w:vAlign w:val="center"/>
          </w:tcPr>
          <w:p w14:paraId="2AB009AE" w14:textId="5CB1D9C7" w:rsidR="00D97E41" w:rsidRPr="00791519" w:rsidRDefault="00E91A2B" w:rsidP="002424E4">
            <w:pPr>
              <w:spacing w:line="240" w:lineRule="auto"/>
              <w:jc w:val="center"/>
              <w:rPr>
                <w:rFonts w:cs="Times New Roman"/>
                <w:szCs w:val="22"/>
              </w:rPr>
            </w:pPr>
            <w:r w:rsidRPr="00791519">
              <w:rPr>
                <w:rFonts w:cs="Times New Roman"/>
                <w:szCs w:val="22"/>
              </w:rPr>
              <w:t>63523</w:t>
            </w:r>
          </w:p>
        </w:tc>
        <w:tc>
          <w:tcPr>
            <w:tcW w:w="960" w:type="dxa"/>
            <w:tcBorders>
              <w:top w:val="nil"/>
              <w:left w:val="nil"/>
              <w:bottom w:val="single" w:sz="4" w:space="0" w:color="auto"/>
              <w:right w:val="single" w:sz="12" w:space="0" w:color="auto"/>
            </w:tcBorders>
            <w:shd w:val="clear" w:color="000000" w:fill="EAF1DD"/>
            <w:noWrap/>
            <w:vAlign w:val="center"/>
          </w:tcPr>
          <w:p w14:paraId="3E701F51" w14:textId="57630580" w:rsidR="00D97E41" w:rsidRPr="00791519" w:rsidRDefault="00D97E41" w:rsidP="002424E4">
            <w:pPr>
              <w:spacing w:line="240" w:lineRule="auto"/>
              <w:jc w:val="center"/>
              <w:rPr>
                <w:rFonts w:cs="Times New Roman"/>
                <w:szCs w:val="22"/>
              </w:rPr>
            </w:pPr>
            <w:r w:rsidRPr="00791519">
              <w:rPr>
                <w:rFonts w:cs="Times New Roman"/>
                <w:szCs w:val="22"/>
              </w:rPr>
              <w:t>Š</w:t>
            </w:r>
            <w:r w:rsidR="00A106AC" w:rsidRPr="00791519">
              <w:rPr>
                <w:rFonts w:cs="Times New Roman"/>
                <w:szCs w:val="22"/>
              </w:rPr>
              <w:t>7</w:t>
            </w:r>
          </w:p>
        </w:tc>
        <w:tc>
          <w:tcPr>
            <w:tcW w:w="1134" w:type="dxa"/>
            <w:tcBorders>
              <w:top w:val="nil"/>
              <w:left w:val="single" w:sz="12" w:space="0" w:color="auto"/>
              <w:bottom w:val="single" w:sz="4" w:space="0" w:color="auto"/>
              <w:right w:val="single" w:sz="4" w:space="0" w:color="auto"/>
            </w:tcBorders>
            <w:shd w:val="clear" w:color="auto" w:fill="auto"/>
            <w:noWrap/>
            <w:vAlign w:val="center"/>
          </w:tcPr>
          <w:p w14:paraId="6E6E4EB9" w14:textId="446CECC5" w:rsidR="00D97E41" w:rsidRPr="00791519" w:rsidRDefault="00155365" w:rsidP="002424E4">
            <w:pPr>
              <w:spacing w:line="240" w:lineRule="auto"/>
              <w:jc w:val="center"/>
              <w:rPr>
                <w:rFonts w:cs="Times New Roman"/>
                <w:szCs w:val="22"/>
              </w:rPr>
            </w:pPr>
            <w:r w:rsidRPr="00791519">
              <w:rPr>
                <w:rFonts w:cs="Times New Roman"/>
                <w:szCs w:val="22"/>
              </w:rPr>
              <w:t>0,70</w:t>
            </w:r>
          </w:p>
        </w:tc>
        <w:tc>
          <w:tcPr>
            <w:tcW w:w="1100" w:type="dxa"/>
            <w:tcBorders>
              <w:top w:val="single" w:sz="4" w:space="0" w:color="auto"/>
              <w:left w:val="nil"/>
              <w:bottom w:val="single" w:sz="4" w:space="0" w:color="auto"/>
              <w:right w:val="single" w:sz="4" w:space="0" w:color="auto"/>
            </w:tcBorders>
            <w:vAlign w:val="center"/>
          </w:tcPr>
          <w:p w14:paraId="18CF096B" w14:textId="4D76AA0E" w:rsidR="00D97E41" w:rsidRPr="00791519" w:rsidRDefault="00E91A2B" w:rsidP="002424E4">
            <w:pPr>
              <w:spacing w:line="240" w:lineRule="auto"/>
              <w:jc w:val="center"/>
              <w:rPr>
                <w:rFonts w:cs="Times New Roman"/>
                <w:szCs w:val="22"/>
              </w:rPr>
            </w:pPr>
            <w:r w:rsidRPr="00791519">
              <w:rPr>
                <w:rFonts w:cs="Times New Roman"/>
                <w:szCs w:val="22"/>
              </w:rPr>
              <w:t>-</w:t>
            </w:r>
          </w:p>
        </w:tc>
        <w:tc>
          <w:tcPr>
            <w:tcW w:w="1134" w:type="dxa"/>
            <w:tcBorders>
              <w:top w:val="nil"/>
              <w:left w:val="single" w:sz="4" w:space="0" w:color="auto"/>
              <w:bottom w:val="single" w:sz="4" w:space="0" w:color="auto"/>
              <w:right w:val="single" w:sz="4" w:space="0" w:color="auto"/>
            </w:tcBorders>
            <w:shd w:val="clear" w:color="auto" w:fill="auto"/>
            <w:noWrap/>
            <w:vAlign w:val="center"/>
          </w:tcPr>
          <w:p w14:paraId="59A90B3C" w14:textId="34C226C8" w:rsidR="00D97E41" w:rsidRPr="00791519" w:rsidRDefault="00155365" w:rsidP="002424E4">
            <w:pPr>
              <w:spacing w:line="240" w:lineRule="auto"/>
              <w:jc w:val="center"/>
              <w:rPr>
                <w:rFonts w:cs="Times New Roman"/>
                <w:szCs w:val="22"/>
              </w:rPr>
            </w:pPr>
            <w:r w:rsidRPr="00791519">
              <w:rPr>
                <w:rFonts w:cs="Times New Roman"/>
                <w:szCs w:val="22"/>
              </w:rPr>
              <w:t>-</w:t>
            </w:r>
          </w:p>
        </w:tc>
        <w:tc>
          <w:tcPr>
            <w:tcW w:w="992" w:type="dxa"/>
            <w:tcBorders>
              <w:top w:val="nil"/>
              <w:left w:val="nil"/>
              <w:bottom w:val="single" w:sz="4" w:space="0" w:color="auto"/>
              <w:right w:val="single" w:sz="12" w:space="0" w:color="auto"/>
            </w:tcBorders>
            <w:shd w:val="clear" w:color="auto" w:fill="auto"/>
            <w:noWrap/>
            <w:vAlign w:val="center"/>
          </w:tcPr>
          <w:p w14:paraId="4520F3EF" w14:textId="333C471C" w:rsidR="00D97E41" w:rsidRPr="00791519" w:rsidRDefault="00E91A2B" w:rsidP="002424E4">
            <w:pPr>
              <w:spacing w:line="240" w:lineRule="auto"/>
              <w:jc w:val="center"/>
              <w:rPr>
                <w:rFonts w:cs="Times New Roman"/>
                <w:szCs w:val="22"/>
              </w:rPr>
            </w:pPr>
            <w:r w:rsidRPr="00791519">
              <w:rPr>
                <w:rFonts w:cs="Times New Roman"/>
                <w:szCs w:val="22"/>
              </w:rPr>
              <w:t>0,70</w:t>
            </w:r>
          </w:p>
        </w:tc>
        <w:tc>
          <w:tcPr>
            <w:tcW w:w="1452" w:type="dxa"/>
            <w:tcBorders>
              <w:top w:val="nil"/>
              <w:left w:val="single" w:sz="12" w:space="0" w:color="auto"/>
              <w:bottom w:val="single" w:sz="4" w:space="0" w:color="auto"/>
              <w:right w:val="single" w:sz="4" w:space="0" w:color="auto"/>
            </w:tcBorders>
            <w:vAlign w:val="center"/>
          </w:tcPr>
          <w:p w14:paraId="1C3AEA53" w14:textId="77777777" w:rsidR="00D97E41" w:rsidRPr="00791519" w:rsidRDefault="00A4113B" w:rsidP="002424E4">
            <w:pPr>
              <w:spacing w:line="240" w:lineRule="auto"/>
              <w:jc w:val="center"/>
              <w:rPr>
                <w:rFonts w:cs="Times New Roman"/>
                <w:szCs w:val="22"/>
              </w:rPr>
            </w:pPr>
            <w:r w:rsidRPr="00791519">
              <w:rPr>
                <w:rFonts w:cs="Times New Roman"/>
                <w:szCs w:val="22"/>
              </w:rPr>
              <w:t>1,0</w:t>
            </w:r>
          </w:p>
        </w:tc>
        <w:tc>
          <w:tcPr>
            <w:tcW w:w="1417" w:type="dxa"/>
            <w:tcBorders>
              <w:top w:val="nil"/>
              <w:left w:val="nil"/>
              <w:bottom w:val="single" w:sz="4" w:space="0" w:color="auto"/>
              <w:right w:val="single" w:sz="12" w:space="0" w:color="auto"/>
            </w:tcBorders>
            <w:vAlign w:val="center"/>
          </w:tcPr>
          <w:p w14:paraId="1B3C251B" w14:textId="2C7A779E" w:rsidR="00D97E41" w:rsidRPr="00791519" w:rsidRDefault="00E91A2B" w:rsidP="002424E4">
            <w:pPr>
              <w:spacing w:line="240" w:lineRule="auto"/>
              <w:jc w:val="center"/>
              <w:rPr>
                <w:rFonts w:cs="Times New Roman"/>
                <w:szCs w:val="22"/>
              </w:rPr>
            </w:pPr>
            <w:r w:rsidRPr="00791519">
              <w:rPr>
                <w:rFonts w:cs="Times New Roman"/>
                <w:szCs w:val="22"/>
              </w:rPr>
              <w:t>-</w:t>
            </w:r>
          </w:p>
        </w:tc>
      </w:tr>
      <w:tr w:rsidR="00480360" w:rsidRPr="00791519" w14:paraId="18F74F0C" w14:textId="77777777" w:rsidTr="00E91A2B">
        <w:trPr>
          <w:trHeight w:val="300"/>
        </w:trPr>
        <w:tc>
          <w:tcPr>
            <w:tcW w:w="898" w:type="dxa"/>
            <w:tcBorders>
              <w:top w:val="single" w:sz="4" w:space="0" w:color="auto"/>
              <w:left w:val="single" w:sz="12" w:space="0" w:color="auto"/>
              <w:bottom w:val="single" w:sz="12" w:space="0" w:color="auto"/>
              <w:right w:val="single" w:sz="4" w:space="0" w:color="auto"/>
            </w:tcBorders>
            <w:shd w:val="clear" w:color="000000" w:fill="EAF1DD"/>
            <w:noWrap/>
            <w:vAlign w:val="center"/>
          </w:tcPr>
          <w:p w14:paraId="5408100C" w14:textId="3E7CD5A5" w:rsidR="00D97E41" w:rsidRPr="00791519" w:rsidRDefault="00E91A2B" w:rsidP="002424E4">
            <w:pPr>
              <w:spacing w:line="240" w:lineRule="auto"/>
              <w:jc w:val="center"/>
              <w:rPr>
                <w:rFonts w:cs="Times New Roman"/>
                <w:szCs w:val="22"/>
              </w:rPr>
            </w:pPr>
            <w:r w:rsidRPr="00791519">
              <w:rPr>
                <w:rFonts w:cs="Times New Roman"/>
                <w:szCs w:val="22"/>
              </w:rPr>
              <w:t>1755825</w:t>
            </w:r>
          </w:p>
        </w:tc>
        <w:tc>
          <w:tcPr>
            <w:tcW w:w="960" w:type="dxa"/>
            <w:tcBorders>
              <w:top w:val="single" w:sz="4" w:space="0" w:color="auto"/>
              <w:left w:val="nil"/>
              <w:bottom w:val="single" w:sz="12" w:space="0" w:color="auto"/>
              <w:right w:val="single" w:sz="12" w:space="0" w:color="auto"/>
            </w:tcBorders>
            <w:shd w:val="clear" w:color="000000" w:fill="EAF1DD"/>
            <w:noWrap/>
            <w:vAlign w:val="center"/>
          </w:tcPr>
          <w:p w14:paraId="545C8E79" w14:textId="2CC968D6" w:rsidR="00D97E41" w:rsidRPr="00791519" w:rsidRDefault="00E91A2B" w:rsidP="002424E4">
            <w:pPr>
              <w:spacing w:line="240" w:lineRule="auto"/>
              <w:jc w:val="center"/>
              <w:rPr>
                <w:rFonts w:cs="Times New Roman"/>
                <w:szCs w:val="22"/>
              </w:rPr>
            </w:pPr>
            <w:r w:rsidRPr="00791519">
              <w:rPr>
                <w:rFonts w:cs="Times New Roman"/>
                <w:szCs w:val="22"/>
              </w:rPr>
              <w:t>Š</w:t>
            </w:r>
            <w:r w:rsidR="00A106AC" w:rsidRPr="00791519">
              <w:rPr>
                <w:rFonts w:cs="Times New Roman"/>
                <w:szCs w:val="22"/>
              </w:rPr>
              <w:t>8</w:t>
            </w:r>
          </w:p>
        </w:tc>
        <w:tc>
          <w:tcPr>
            <w:tcW w:w="1134" w:type="dxa"/>
            <w:tcBorders>
              <w:top w:val="single" w:sz="4" w:space="0" w:color="auto"/>
              <w:left w:val="single" w:sz="12" w:space="0" w:color="auto"/>
              <w:bottom w:val="single" w:sz="12" w:space="0" w:color="auto"/>
              <w:right w:val="single" w:sz="4" w:space="0" w:color="auto"/>
            </w:tcBorders>
            <w:shd w:val="clear" w:color="auto" w:fill="auto"/>
            <w:noWrap/>
            <w:vAlign w:val="center"/>
          </w:tcPr>
          <w:p w14:paraId="7DD2AA4B" w14:textId="4EFBD8A0" w:rsidR="00D97E41" w:rsidRPr="00791519" w:rsidRDefault="00E91A2B" w:rsidP="002424E4">
            <w:pPr>
              <w:spacing w:line="240" w:lineRule="auto"/>
              <w:jc w:val="center"/>
              <w:rPr>
                <w:rFonts w:cs="Times New Roman"/>
                <w:szCs w:val="22"/>
              </w:rPr>
            </w:pPr>
            <w:r w:rsidRPr="00791519">
              <w:rPr>
                <w:rFonts w:cs="Times New Roman"/>
                <w:szCs w:val="22"/>
              </w:rPr>
              <w:t>0,70</w:t>
            </w:r>
          </w:p>
        </w:tc>
        <w:tc>
          <w:tcPr>
            <w:tcW w:w="1100" w:type="dxa"/>
            <w:tcBorders>
              <w:top w:val="single" w:sz="4" w:space="0" w:color="auto"/>
              <w:left w:val="nil"/>
              <w:bottom w:val="single" w:sz="12" w:space="0" w:color="auto"/>
              <w:right w:val="single" w:sz="4" w:space="0" w:color="auto"/>
            </w:tcBorders>
            <w:vAlign w:val="center"/>
          </w:tcPr>
          <w:p w14:paraId="15DC067F" w14:textId="77777777" w:rsidR="00D97E41" w:rsidRPr="00791519" w:rsidRDefault="00D97E41" w:rsidP="002424E4">
            <w:pPr>
              <w:spacing w:line="240" w:lineRule="auto"/>
              <w:jc w:val="center"/>
              <w:rPr>
                <w:rFonts w:cs="Times New Roman"/>
                <w:szCs w:val="22"/>
              </w:rPr>
            </w:pPr>
            <w:r w:rsidRPr="00791519">
              <w:rPr>
                <w:rFonts w:cs="Times New Roman"/>
                <w:szCs w:val="22"/>
              </w:rPr>
              <w:t>-</w:t>
            </w:r>
          </w:p>
        </w:tc>
        <w:tc>
          <w:tcPr>
            <w:tcW w:w="1134" w:type="dxa"/>
            <w:tcBorders>
              <w:top w:val="single" w:sz="4" w:space="0" w:color="auto"/>
              <w:left w:val="single" w:sz="4" w:space="0" w:color="auto"/>
              <w:bottom w:val="single" w:sz="12" w:space="0" w:color="auto"/>
              <w:right w:val="single" w:sz="4" w:space="0" w:color="auto"/>
            </w:tcBorders>
            <w:shd w:val="clear" w:color="auto" w:fill="auto"/>
            <w:noWrap/>
            <w:vAlign w:val="center"/>
          </w:tcPr>
          <w:p w14:paraId="34F1E45E" w14:textId="0AD6A05C" w:rsidR="00D97E41" w:rsidRPr="00791519" w:rsidRDefault="00E91A2B" w:rsidP="002424E4">
            <w:pPr>
              <w:spacing w:line="240" w:lineRule="auto"/>
              <w:jc w:val="center"/>
              <w:rPr>
                <w:rFonts w:cs="Times New Roman"/>
                <w:szCs w:val="22"/>
              </w:rPr>
            </w:pPr>
            <w:r w:rsidRPr="00791519">
              <w:rPr>
                <w:rFonts w:cs="Times New Roman"/>
                <w:szCs w:val="22"/>
              </w:rPr>
              <w:t>-</w:t>
            </w:r>
          </w:p>
        </w:tc>
        <w:tc>
          <w:tcPr>
            <w:tcW w:w="992" w:type="dxa"/>
            <w:tcBorders>
              <w:top w:val="single" w:sz="4" w:space="0" w:color="auto"/>
              <w:left w:val="nil"/>
              <w:bottom w:val="single" w:sz="12" w:space="0" w:color="auto"/>
              <w:right w:val="single" w:sz="12" w:space="0" w:color="auto"/>
            </w:tcBorders>
            <w:shd w:val="clear" w:color="auto" w:fill="auto"/>
            <w:noWrap/>
            <w:vAlign w:val="center"/>
          </w:tcPr>
          <w:p w14:paraId="3ED2C6C3" w14:textId="69D87B4E" w:rsidR="00D97E41" w:rsidRPr="00791519" w:rsidRDefault="00E91A2B" w:rsidP="002424E4">
            <w:pPr>
              <w:spacing w:line="240" w:lineRule="auto"/>
              <w:jc w:val="center"/>
              <w:rPr>
                <w:rFonts w:cs="Times New Roman"/>
                <w:szCs w:val="22"/>
              </w:rPr>
            </w:pPr>
            <w:r w:rsidRPr="00791519">
              <w:rPr>
                <w:rFonts w:cs="Times New Roman"/>
                <w:szCs w:val="22"/>
              </w:rPr>
              <w:t>0,70</w:t>
            </w:r>
          </w:p>
        </w:tc>
        <w:tc>
          <w:tcPr>
            <w:tcW w:w="1452" w:type="dxa"/>
            <w:tcBorders>
              <w:top w:val="single" w:sz="4" w:space="0" w:color="auto"/>
              <w:left w:val="single" w:sz="12" w:space="0" w:color="auto"/>
              <w:bottom w:val="single" w:sz="12" w:space="0" w:color="auto"/>
              <w:right w:val="single" w:sz="4" w:space="0" w:color="auto"/>
            </w:tcBorders>
            <w:vAlign w:val="center"/>
          </w:tcPr>
          <w:p w14:paraId="371FEDCC" w14:textId="77777777" w:rsidR="00D97E41" w:rsidRPr="00791519" w:rsidRDefault="00A4113B" w:rsidP="002424E4">
            <w:pPr>
              <w:spacing w:line="240" w:lineRule="auto"/>
              <w:jc w:val="center"/>
              <w:rPr>
                <w:rFonts w:cs="Times New Roman"/>
                <w:szCs w:val="22"/>
              </w:rPr>
            </w:pPr>
            <w:r w:rsidRPr="00791519">
              <w:rPr>
                <w:rFonts w:cs="Times New Roman"/>
                <w:szCs w:val="22"/>
              </w:rPr>
              <w:t>1,0</w:t>
            </w:r>
          </w:p>
        </w:tc>
        <w:tc>
          <w:tcPr>
            <w:tcW w:w="1417" w:type="dxa"/>
            <w:tcBorders>
              <w:top w:val="single" w:sz="4" w:space="0" w:color="auto"/>
              <w:left w:val="nil"/>
              <w:bottom w:val="single" w:sz="12" w:space="0" w:color="auto"/>
              <w:right w:val="single" w:sz="12" w:space="0" w:color="auto"/>
            </w:tcBorders>
            <w:vAlign w:val="center"/>
          </w:tcPr>
          <w:p w14:paraId="5EF28579" w14:textId="4E63156D" w:rsidR="00D97E41" w:rsidRPr="00791519" w:rsidRDefault="00E91A2B" w:rsidP="002424E4">
            <w:pPr>
              <w:spacing w:line="240" w:lineRule="auto"/>
              <w:jc w:val="center"/>
              <w:rPr>
                <w:rFonts w:cs="Times New Roman"/>
                <w:szCs w:val="22"/>
              </w:rPr>
            </w:pPr>
            <w:r w:rsidRPr="00791519">
              <w:rPr>
                <w:rFonts w:cs="Times New Roman"/>
                <w:szCs w:val="22"/>
              </w:rPr>
              <w:t>-</w:t>
            </w:r>
          </w:p>
        </w:tc>
      </w:tr>
    </w:tbl>
    <w:p w14:paraId="7F6FACDD" w14:textId="77777777" w:rsidR="00791519" w:rsidRDefault="00791519" w:rsidP="005A5433">
      <w:pPr>
        <w:pStyle w:val="AqpText"/>
      </w:pPr>
    </w:p>
    <w:p w14:paraId="7AAEB4A0" w14:textId="19F24C8E" w:rsidR="0042381C" w:rsidRPr="00791519" w:rsidRDefault="003F7E17" w:rsidP="005A5433">
      <w:pPr>
        <w:pStyle w:val="AqpText"/>
      </w:pPr>
      <w:r w:rsidRPr="00791519">
        <w:t xml:space="preserve">U </w:t>
      </w:r>
      <w:r w:rsidR="00480360" w:rsidRPr="00791519">
        <w:t xml:space="preserve">většiny </w:t>
      </w:r>
      <w:r w:rsidRPr="00791519">
        <w:t>šachet</w:t>
      </w:r>
      <w:r w:rsidR="00480360" w:rsidRPr="00791519">
        <w:t xml:space="preserve"> (vyjma šachty 64472)</w:t>
      </w:r>
      <w:r w:rsidR="00541272" w:rsidRPr="00791519">
        <w:t xml:space="preserve"> </w:t>
      </w:r>
      <w:r w:rsidRPr="00791519">
        <w:t xml:space="preserve">se předpokládá </w:t>
      </w:r>
      <w:r w:rsidR="0089718F" w:rsidRPr="00791519">
        <w:t xml:space="preserve">prefabrikované dno ze železobetonu. </w:t>
      </w:r>
      <w:r w:rsidR="000D7216" w:rsidRPr="00791519">
        <w:t xml:space="preserve">Hloubky šachet jsou udávané od poklopu po spodní hranu </w:t>
      </w:r>
      <w:r w:rsidR="00541272" w:rsidRPr="00791519">
        <w:t xml:space="preserve">konstrukce </w:t>
      </w:r>
      <w:r w:rsidR="000D7216" w:rsidRPr="00791519">
        <w:t>betonového dna. V případě výpočtu objemu bouracích prací je třeba připočíst 300 mm na stěny šachty. Strop a dno monolitické části šachet se předpokládá tloušťky 300 mm.</w:t>
      </w:r>
    </w:p>
    <w:p w14:paraId="052BC830" w14:textId="41EDE49B" w:rsidR="00C81629" w:rsidRPr="00791519" w:rsidRDefault="00C81629" w:rsidP="005A5433">
      <w:pPr>
        <w:pStyle w:val="AqpText"/>
      </w:pPr>
      <w:r w:rsidRPr="00791519">
        <w:t>Stávající provizorní ztracené šachty v křižovatce s ulicí Jílkova budou vybourány. Jde o šachty ID 3755003 a 3754998.</w:t>
      </w:r>
    </w:p>
    <w:p w14:paraId="1B54630D" w14:textId="77777777" w:rsidR="008D7F48" w:rsidRPr="00791519" w:rsidRDefault="008D7F48" w:rsidP="008D7F48">
      <w:pPr>
        <w:pStyle w:val="Nadpis2"/>
      </w:pPr>
      <w:bookmarkStart w:id="50" w:name="_Toc62201067"/>
      <w:r w:rsidRPr="00791519">
        <w:lastRenderedPageBreak/>
        <w:t>Zvláštní požadavky na postup stavebních prací</w:t>
      </w:r>
      <w:bookmarkEnd w:id="50"/>
    </w:p>
    <w:p w14:paraId="0F68A631" w14:textId="77777777" w:rsidR="005E63BB" w:rsidRPr="00791519" w:rsidRDefault="005E63BB" w:rsidP="008D7F48">
      <w:pPr>
        <w:pStyle w:val="AqpText"/>
        <w:numPr>
          <w:ilvl w:val="0"/>
          <w:numId w:val="15"/>
        </w:numPr>
      </w:pPr>
      <w:r w:rsidRPr="00791519">
        <w:t xml:space="preserve">Výstavbu stok realizovat </w:t>
      </w:r>
      <w:r w:rsidR="00A24F12" w:rsidRPr="00791519">
        <w:t>dle popisu v kapitole 3.1</w:t>
      </w:r>
      <w:r w:rsidR="002A1B39" w:rsidRPr="00791519">
        <w:t>.</w:t>
      </w:r>
    </w:p>
    <w:p w14:paraId="3CBC6FAE" w14:textId="77777777" w:rsidR="008D7F48" w:rsidRPr="00791519" w:rsidRDefault="008D7F48" w:rsidP="008D7F48">
      <w:pPr>
        <w:pStyle w:val="AqpText"/>
        <w:numPr>
          <w:ilvl w:val="0"/>
          <w:numId w:val="15"/>
        </w:numPr>
      </w:pPr>
      <w:r w:rsidRPr="00791519">
        <w:t>Při realizaci předepsáno použití laserového zaměřovače. Tento požadavek je nutno bezpodmínečně dodržet.</w:t>
      </w:r>
      <w:r w:rsidR="005E63BB" w:rsidRPr="00791519">
        <w:t xml:space="preserve"> Budou prováděny každodenní kontroly nivelety dokončeného úseku. V případě zjištění diference větší než 3 cm bude ihned informován projektant a ve stavbě nebude pokračováno do doby</w:t>
      </w:r>
      <w:r w:rsidR="002A1B39" w:rsidRPr="00791519">
        <w:t>,</w:t>
      </w:r>
      <w:r w:rsidR="005E63BB" w:rsidRPr="00791519">
        <w:t xml:space="preserve"> než bude rozhodnuto</w:t>
      </w:r>
      <w:r w:rsidR="002A1B39" w:rsidRPr="00791519">
        <w:t>,</w:t>
      </w:r>
      <w:r w:rsidR="005E63BB" w:rsidRPr="00791519">
        <w:t xml:space="preserve"> jak postupovat dále.</w:t>
      </w:r>
    </w:p>
    <w:p w14:paraId="241543CC" w14:textId="77777777" w:rsidR="008D7F48" w:rsidRPr="00791519" w:rsidRDefault="008D7F48" w:rsidP="008D7F48">
      <w:pPr>
        <w:pStyle w:val="AqpText"/>
        <w:numPr>
          <w:ilvl w:val="0"/>
          <w:numId w:val="15"/>
        </w:numPr>
      </w:pPr>
      <w:r w:rsidRPr="00791519">
        <w:t>Před zahájením stavby je nutno zkontrolovat výškové poměry ve všech nápojných bodech. Případné nesrovnalosti ihned oznámit investorovi a projektantovi a bez vyjasnění výškových poměrů vůbec nezahajovat stavbu.</w:t>
      </w:r>
    </w:p>
    <w:p w14:paraId="5ED6BDED" w14:textId="77777777" w:rsidR="008D7F48" w:rsidRPr="00791519" w:rsidRDefault="008D7F48" w:rsidP="008D7F48">
      <w:pPr>
        <w:pStyle w:val="AqpText"/>
        <w:numPr>
          <w:ilvl w:val="0"/>
          <w:numId w:val="15"/>
        </w:numPr>
      </w:pPr>
      <w:r w:rsidRPr="00791519">
        <w:t>Rovněž případné nesrovnalosti mezi hodnotami kót terénu udávanými v PD a skutečností na stavbě je nutno obratem konzultovat s investorem a projektantem. Zde se však předpokládá, že zhotovitel je firma natolik odborně zdatná, že si dokáže zajistit uvedení terénu do nově navrženého stavu (výškově) bez nutnosti nějakého zvláštního dohledu ze strany projektanta a investora.</w:t>
      </w:r>
    </w:p>
    <w:p w14:paraId="6F411E9D" w14:textId="77777777" w:rsidR="008D7F48" w:rsidRPr="00791519" w:rsidRDefault="008D7F48" w:rsidP="00066A25">
      <w:pPr>
        <w:pStyle w:val="Nadpis2"/>
      </w:pPr>
      <w:bookmarkStart w:id="51" w:name="_Toc62201068"/>
      <w:r w:rsidRPr="00791519">
        <w:t>B</w:t>
      </w:r>
      <w:r w:rsidR="00066A25" w:rsidRPr="00791519">
        <w:t>ezpečnost a ochrana zdraví při práci</w:t>
      </w:r>
      <w:bookmarkEnd w:id="51"/>
    </w:p>
    <w:p w14:paraId="30404DFE" w14:textId="77777777" w:rsidR="008D7F48" w:rsidRPr="00791519" w:rsidRDefault="008D7F48" w:rsidP="008D7F48">
      <w:pPr>
        <w:pStyle w:val="AqpText"/>
      </w:pPr>
      <w:r w:rsidRPr="00791519">
        <w:t>Všichni pracovníci musí být proškoleni a přezkoušeni ze znalosti BOZ. Za dodržení a zejména kontrolu jsou odpovědni všichni vedoucí pracovníci na všech stupních řízení.</w:t>
      </w:r>
    </w:p>
    <w:p w14:paraId="2DFCE4EA" w14:textId="77777777" w:rsidR="007339A0" w:rsidRPr="00791519" w:rsidRDefault="008D7F48" w:rsidP="008D7F48">
      <w:pPr>
        <w:pStyle w:val="AqpText"/>
      </w:pPr>
      <w:r w:rsidRPr="00791519">
        <w:t xml:space="preserve">Při přípravě i vlastních stavebních pracích je nutno dodržovat platné ČSN, zákon č. 309/2006 a nařízení vlády </w:t>
      </w:r>
      <w:r w:rsidR="00422916" w:rsidRPr="00791519">
        <w:br/>
      </w:r>
      <w:r w:rsidRPr="00791519">
        <w:t>č. 591/2006.</w:t>
      </w:r>
      <w:r w:rsidR="00066A25" w:rsidRPr="00791519">
        <w:t xml:space="preserve"> Podrobněji v části dokumentace F </w:t>
      </w:r>
      <w:r w:rsidR="002A1B39" w:rsidRPr="00791519">
        <w:t>–</w:t>
      </w:r>
      <w:r w:rsidR="00066A25" w:rsidRPr="00791519">
        <w:t xml:space="preserve"> Zásady organizace výstavby.</w:t>
      </w:r>
    </w:p>
    <w:p w14:paraId="59E69E1A" w14:textId="77777777" w:rsidR="00066A25" w:rsidRPr="00791519" w:rsidRDefault="00066A25" w:rsidP="008D7F48">
      <w:pPr>
        <w:pStyle w:val="AqpText"/>
      </w:pPr>
    </w:p>
    <w:p w14:paraId="7F4C3504" w14:textId="77777777" w:rsidR="00066A25" w:rsidRPr="00791519" w:rsidRDefault="00066A25" w:rsidP="00066A25">
      <w:pPr>
        <w:pStyle w:val="Nadpis1"/>
      </w:pPr>
      <w:bookmarkStart w:id="52" w:name="_Toc62201069"/>
      <w:r w:rsidRPr="00791519">
        <w:t>Věcné a časové vazby</w:t>
      </w:r>
      <w:bookmarkEnd w:id="52"/>
    </w:p>
    <w:p w14:paraId="299AD809" w14:textId="77777777" w:rsidR="00066A25" w:rsidRPr="00791519" w:rsidRDefault="00066A25" w:rsidP="00066A25">
      <w:pPr>
        <w:pStyle w:val="Nadpis2"/>
      </w:pPr>
      <w:bookmarkStart w:id="53" w:name="_Toc62201070"/>
      <w:r w:rsidRPr="00791519">
        <w:t>Přeložky podzemních sítí</w:t>
      </w:r>
      <w:bookmarkEnd w:id="53"/>
    </w:p>
    <w:p w14:paraId="345E953B" w14:textId="77777777" w:rsidR="001C43B8" w:rsidRPr="00791519" w:rsidRDefault="001C43B8" w:rsidP="00066A25">
      <w:pPr>
        <w:pStyle w:val="AqpText"/>
      </w:pPr>
      <w:r w:rsidRPr="00791519">
        <w:t xml:space="preserve">Návrh trasy rekonstrukce vycházel ze stávajícího stavu a byl veden snahou o minimalizaci zásahů do stávajících tras podzemních inženýrských sítí. Pokud by se během stavby zjistily významné odchylky průběhů IS, bude nutno provést posouzení nutnosti jejich přeložek. Po zahájení stavby a přesném vytýčení podzemních sítí přímo v terénu bude </w:t>
      </w:r>
      <w:r w:rsidR="00377BB2" w:rsidRPr="00791519">
        <w:br/>
      </w:r>
      <w:r w:rsidRPr="00791519">
        <w:t>v součinnosti se zhotovitelem stavby a TDI v nutných případech řešena tato problematika přímo na stavbě.</w:t>
      </w:r>
    </w:p>
    <w:p w14:paraId="2B8FC89C" w14:textId="77777777" w:rsidR="00066A25" w:rsidRPr="00791519" w:rsidRDefault="00066A25" w:rsidP="001C43B8">
      <w:pPr>
        <w:pStyle w:val="Nadpis2"/>
      </w:pPr>
      <w:bookmarkStart w:id="54" w:name="_Toc62201071"/>
      <w:r w:rsidRPr="00791519">
        <w:t>D</w:t>
      </w:r>
      <w:r w:rsidR="001C43B8" w:rsidRPr="00791519">
        <w:t>opravní omezení</w:t>
      </w:r>
      <w:bookmarkEnd w:id="54"/>
    </w:p>
    <w:p w14:paraId="460FC9C9" w14:textId="78FE95C3" w:rsidR="002F3927" w:rsidRPr="00791519" w:rsidRDefault="00377F94" w:rsidP="002F3927">
      <w:pPr>
        <w:pStyle w:val="AqpText"/>
      </w:pPr>
      <w:r w:rsidRPr="00791519">
        <w:t xml:space="preserve">Během výstavby bude nutné uzavřít </w:t>
      </w:r>
      <w:r w:rsidR="006E5FDA" w:rsidRPr="00791519">
        <w:t>obslužnou komunikaci Gajdošova</w:t>
      </w:r>
      <w:r w:rsidRPr="00791519">
        <w:t xml:space="preserve"> dle etap výstavby</w:t>
      </w:r>
      <w:r w:rsidR="002F3927" w:rsidRPr="00791519">
        <w:t>. V souvislosti s postupem stavebních prací bude prováděno osazování dopravního značení. Návrh dopravního značení je samostatnou součástí této PD.</w:t>
      </w:r>
    </w:p>
    <w:p w14:paraId="66BCF7F0" w14:textId="77777777" w:rsidR="00A00E1D" w:rsidRPr="00791519" w:rsidRDefault="00A00E1D" w:rsidP="00A00E1D">
      <w:pPr>
        <w:pStyle w:val="AqpText"/>
      </w:pPr>
      <w:r w:rsidRPr="00791519">
        <w:t>Po celou dobu stavby musí být zajištěna možnost příjezdu pro hasičský záchranný sbor a pro zdravotní službu.</w:t>
      </w:r>
    </w:p>
    <w:p w14:paraId="7A809CCF" w14:textId="77777777" w:rsidR="005E63BB" w:rsidRPr="00791519" w:rsidRDefault="00066A25" w:rsidP="005E63BB">
      <w:pPr>
        <w:pStyle w:val="Nadpis2"/>
      </w:pPr>
      <w:bookmarkStart w:id="55" w:name="_Toc62201072"/>
      <w:r w:rsidRPr="00791519">
        <w:lastRenderedPageBreak/>
        <w:t>V</w:t>
      </w:r>
      <w:r w:rsidR="005E63BB" w:rsidRPr="00791519">
        <w:t>šeobecně</w:t>
      </w:r>
      <w:bookmarkEnd w:id="55"/>
    </w:p>
    <w:p w14:paraId="66696B25" w14:textId="77777777" w:rsidR="00377F94" w:rsidRPr="00791519" w:rsidRDefault="00377F94" w:rsidP="00377F94">
      <w:pPr>
        <w:pStyle w:val="AqpText"/>
      </w:pPr>
      <w:r w:rsidRPr="00791519">
        <w:t>Provádění stavby nutno koordinovat s dalšími případnými plánovanými opravami a rekonstrukcemi ostatních inženýrských sítí v předmětné lokalitě:</w:t>
      </w:r>
    </w:p>
    <w:p w14:paraId="7540568F" w14:textId="77777777" w:rsidR="00377F94" w:rsidRPr="00791519" w:rsidRDefault="00377F94" w:rsidP="00377F94">
      <w:pPr>
        <w:pStyle w:val="AqpText"/>
        <w:numPr>
          <w:ilvl w:val="0"/>
          <w:numId w:val="37"/>
        </w:numPr>
      </w:pPr>
      <w:r w:rsidRPr="00791519">
        <w:t>Rekonstrukce vodovodu a vodovodních přípojek.</w:t>
      </w:r>
    </w:p>
    <w:p w14:paraId="4045B046" w14:textId="728B6957" w:rsidR="00377F94" w:rsidRPr="00791519" w:rsidRDefault="006E5FDA" w:rsidP="00377F94">
      <w:pPr>
        <w:pStyle w:val="AqpText"/>
        <w:numPr>
          <w:ilvl w:val="0"/>
          <w:numId w:val="37"/>
        </w:numPr>
      </w:pPr>
      <w:r w:rsidRPr="00791519">
        <w:t>Polyfunkční dům Gajdošova, Brno – Židenice.</w:t>
      </w:r>
    </w:p>
    <w:p w14:paraId="21E1023A" w14:textId="77777777" w:rsidR="00377F94" w:rsidRPr="00791519" w:rsidRDefault="00377F94" w:rsidP="00377F94">
      <w:pPr>
        <w:pStyle w:val="AqpText"/>
      </w:pPr>
      <w:r w:rsidRPr="00791519">
        <w:t>Dále je nutno v předstihu upozornit občany na to, že nebudou po určitou dobu moci zajíždět se svými vozidly až k místu bydliště.</w:t>
      </w:r>
    </w:p>
    <w:p w14:paraId="72B5A791" w14:textId="77777777" w:rsidR="00066A25" w:rsidRPr="00791519" w:rsidRDefault="00066A25" w:rsidP="00424CB1">
      <w:pPr>
        <w:pStyle w:val="Nadpis2"/>
      </w:pPr>
      <w:bookmarkStart w:id="56" w:name="_Toc62201073"/>
      <w:r w:rsidRPr="00791519">
        <w:t>P</w:t>
      </w:r>
      <w:r w:rsidR="00424CB1" w:rsidRPr="00791519">
        <w:t>říprava pro výstavbu</w:t>
      </w:r>
      <w:bookmarkEnd w:id="56"/>
    </w:p>
    <w:p w14:paraId="3DEA5B5A" w14:textId="77777777" w:rsidR="00066A25" w:rsidRPr="00791519" w:rsidRDefault="00066A25" w:rsidP="00066A25">
      <w:pPr>
        <w:pStyle w:val="AqpText"/>
      </w:pPr>
      <w:r w:rsidRPr="00791519">
        <w:t>Staveniště se v celém rozsahu nachází na veřejných pozemcích (vozovka a chodníky). Soukromé pozemky nejsou stavbou kanalizace a přípojek dotčeny.</w:t>
      </w:r>
    </w:p>
    <w:p w14:paraId="62BF5CB1" w14:textId="77777777" w:rsidR="00066A25" w:rsidRPr="00791519" w:rsidRDefault="00066A25" w:rsidP="00066A25">
      <w:pPr>
        <w:pStyle w:val="AqpText"/>
      </w:pPr>
      <w:r w:rsidRPr="00791519">
        <w:t>Přípravné práce budou spočívat pouze v řádném předání staveniště, ve vytýčení a vyznačení podzemních sítí. V rámci přípravných prací je nutno osadit staveniště a jeho bezprostřední okolí příslušnými dopravními značkami (projekt značení je doložen jako samostatná příloha této PD). Po zahájení zemních prací je dále nutno zabezpečit staveniště tak, aby nemohlo dojít k pádu osoby nebo vozidla do výkopu.</w:t>
      </w:r>
    </w:p>
    <w:p w14:paraId="6253D9B3" w14:textId="77777777" w:rsidR="00424CB1" w:rsidRPr="00791519" w:rsidRDefault="00424CB1" w:rsidP="00066A25">
      <w:pPr>
        <w:pStyle w:val="AqpText"/>
      </w:pPr>
    </w:p>
    <w:p w14:paraId="45D39B58" w14:textId="77777777" w:rsidR="00424CB1" w:rsidRPr="00791519" w:rsidRDefault="00424CB1" w:rsidP="00424CB1">
      <w:pPr>
        <w:pStyle w:val="Nadpis1"/>
      </w:pPr>
      <w:bookmarkStart w:id="57" w:name="_Toc62201074"/>
      <w:r w:rsidRPr="00791519">
        <w:t>Úprava ploch, oplocení, veřejná zeleň</w:t>
      </w:r>
      <w:bookmarkEnd w:id="57"/>
    </w:p>
    <w:p w14:paraId="61FB4759" w14:textId="4BBE98BA" w:rsidR="00424CB1" w:rsidRPr="00791519" w:rsidRDefault="00424CB1" w:rsidP="00424CB1">
      <w:pPr>
        <w:pStyle w:val="AqpText"/>
      </w:pPr>
      <w:r w:rsidRPr="00791519">
        <w:t xml:space="preserve">Zhotovitel stavby je povinen uvést všechny plochy dotčené stavbou do původního stavu. Toto platí pro případné zásahy do oplocení. V rámci stavby bude provedena kompletní </w:t>
      </w:r>
      <w:r w:rsidR="00FC131E" w:rsidRPr="00791519">
        <w:t>obnova</w:t>
      </w:r>
      <w:r w:rsidRPr="00791519">
        <w:t xml:space="preserve"> konstrukce vozovky</w:t>
      </w:r>
      <w:r w:rsidR="0098061E" w:rsidRPr="00791519">
        <w:t xml:space="preserve"> a</w:t>
      </w:r>
      <w:r w:rsidRPr="00791519">
        <w:t xml:space="preserve"> obnova chodníků (součást této PD </w:t>
      </w:r>
      <w:r w:rsidR="00D66AE9" w:rsidRPr="00791519">
        <w:t>–</w:t>
      </w:r>
      <w:r w:rsidR="00377F94" w:rsidRPr="00791519">
        <w:t xml:space="preserve"> D.5 SO 101 </w:t>
      </w:r>
      <w:r w:rsidR="0098061E" w:rsidRPr="00791519">
        <w:t>Obslužná komunikace Gajdošova</w:t>
      </w:r>
      <w:r w:rsidRPr="00791519">
        <w:t>)</w:t>
      </w:r>
      <w:r w:rsidR="00D66AE9" w:rsidRPr="00791519">
        <w:t>.</w:t>
      </w:r>
    </w:p>
    <w:p w14:paraId="7FED0D00" w14:textId="77777777" w:rsidR="00424CB1" w:rsidRPr="00791519" w:rsidRDefault="00424CB1" w:rsidP="00424CB1">
      <w:pPr>
        <w:pStyle w:val="AqpText"/>
      </w:pPr>
    </w:p>
    <w:p w14:paraId="4418B9E0" w14:textId="77777777" w:rsidR="00424CB1" w:rsidRPr="00791519" w:rsidRDefault="00424CB1" w:rsidP="00424CB1">
      <w:pPr>
        <w:pStyle w:val="Nadpis1"/>
      </w:pPr>
      <w:bookmarkStart w:id="58" w:name="_Toc62201075"/>
      <w:r w:rsidRPr="00791519">
        <w:t>Ochrana a péče o životní prostředí</w:t>
      </w:r>
      <w:bookmarkEnd w:id="58"/>
    </w:p>
    <w:p w14:paraId="039FB067" w14:textId="77777777" w:rsidR="00424CB1" w:rsidRPr="00791519" w:rsidRDefault="00424CB1" w:rsidP="00424CB1">
      <w:pPr>
        <w:pStyle w:val="Nadpis2"/>
      </w:pPr>
      <w:bookmarkStart w:id="59" w:name="_Toc62201076"/>
      <w:r w:rsidRPr="00791519">
        <w:t>Vliv stavby na okolní prostředí</w:t>
      </w:r>
      <w:bookmarkEnd w:id="59"/>
    </w:p>
    <w:p w14:paraId="203F13B8" w14:textId="77777777" w:rsidR="00424CB1" w:rsidRPr="00791519" w:rsidRDefault="00424CB1" w:rsidP="00424CB1">
      <w:pPr>
        <w:pStyle w:val="AqpText"/>
      </w:pPr>
      <w:r w:rsidRPr="00791519">
        <w:t>Kanalizace je stavba umožňující především spolehlivé a bezpečné odvedení splašků vyprodukovaných v napojených objektech. Tímto svým posláním se jedná o stavbu vodohospodářského charakteru s nejvyšším stupněm ekologické důležitosti.</w:t>
      </w:r>
    </w:p>
    <w:p w14:paraId="2EE44B71" w14:textId="77777777" w:rsidR="00424CB1" w:rsidRPr="00791519" w:rsidRDefault="00424CB1" w:rsidP="00424CB1">
      <w:pPr>
        <w:pStyle w:val="AqpText"/>
      </w:pPr>
      <w:r w:rsidRPr="00791519">
        <w:t xml:space="preserve">Během stavby dojde pochopitelně v důsledku stavební činnosti dodavatele stavby k dočasnému zvýšení prašnosti </w:t>
      </w:r>
      <w:r w:rsidR="00F86803" w:rsidRPr="00791519">
        <w:br/>
      </w:r>
      <w:r w:rsidRPr="00791519">
        <w:t>a hlučnosti v předmětné lokalitě. Tento negativní průvodní jev nelze nikdy zcela vyloučit. Stavební dodavatel musí ovšem učinit všechna opatření, aby se tyto negativní jevy minimalizovaly a nedocházelo k nadměrnému obtěžování občanů bydlících v přilehlých objektech.</w:t>
      </w:r>
    </w:p>
    <w:p w14:paraId="072F007A" w14:textId="1B462ED7" w:rsidR="00424CB1" w:rsidRPr="00791519" w:rsidRDefault="00424CB1" w:rsidP="00424CB1">
      <w:pPr>
        <w:pStyle w:val="AqpText"/>
      </w:pPr>
      <w:r w:rsidRPr="00791519">
        <w:t>Při výstavbě bude dbáno na dodržování předpisů jak bezpečnostních</w:t>
      </w:r>
      <w:r w:rsidR="00377F94" w:rsidRPr="00791519">
        <w:t>,</w:t>
      </w:r>
      <w:r w:rsidRPr="00791519">
        <w:t xml:space="preserve"> tak i provozních, hlavně při manipulaci </w:t>
      </w:r>
      <w:r w:rsidR="00F86803" w:rsidRPr="00791519">
        <w:br/>
      </w:r>
      <w:r w:rsidRPr="00791519">
        <w:t>s pohonnými hmotami.</w:t>
      </w:r>
    </w:p>
    <w:p w14:paraId="3131F44E" w14:textId="77777777" w:rsidR="00424CB1" w:rsidRPr="00791519" w:rsidRDefault="00424CB1" w:rsidP="00424CB1">
      <w:pPr>
        <w:pStyle w:val="AqpText"/>
      </w:pPr>
      <w:r w:rsidRPr="00791519">
        <w:lastRenderedPageBreak/>
        <w:t xml:space="preserve">Z hlediska bezproblémové funkce kanalizace v budoucím provozu je nutné vybudovat kanalizaci dokonale vodotěsnou. Dodavatel stavby je povinen zajistit provedení zkoušek vodotěsnosti všech úseků stokové sítě a předložit doklady </w:t>
      </w:r>
      <w:r w:rsidR="00F86803" w:rsidRPr="00791519">
        <w:br/>
      </w:r>
      <w:r w:rsidRPr="00791519">
        <w:t>o jejich úspěšném provedení.</w:t>
      </w:r>
    </w:p>
    <w:p w14:paraId="64761FB6" w14:textId="77777777" w:rsidR="00424CB1" w:rsidRPr="00791519" w:rsidRDefault="00424CB1" w:rsidP="00424CB1">
      <w:pPr>
        <w:pStyle w:val="Nadpis2"/>
      </w:pPr>
      <w:bookmarkStart w:id="60" w:name="_Toc62201077"/>
      <w:r w:rsidRPr="00791519">
        <w:t>Protipožární zabezpečení stavby</w:t>
      </w:r>
      <w:bookmarkEnd w:id="60"/>
    </w:p>
    <w:p w14:paraId="22AB7EFB" w14:textId="77777777" w:rsidR="00424CB1" w:rsidRPr="00791519" w:rsidRDefault="00424CB1" w:rsidP="00424CB1">
      <w:pPr>
        <w:pStyle w:val="AqpText"/>
      </w:pPr>
      <w:r w:rsidRPr="00791519">
        <w:t>Není nutné, stavba kanalizace je bez požárního rizika.</w:t>
      </w:r>
    </w:p>
    <w:p w14:paraId="2833324F" w14:textId="16F0A753" w:rsidR="00424CB1" w:rsidRPr="00791519" w:rsidRDefault="00424CB1" w:rsidP="00424CB1">
      <w:pPr>
        <w:pStyle w:val="AqpText"/>
      </w:pPr>
      <w:r w:rsidRPr="00791519">
        <w:t>Nosné konstrukce všech objektů jsou vybudované z nehořlavých materiálů (železobeton, prostý beton apod.). Průtokové médium, tj. splašková a dešťová voda, jsou rovněž nehořlavé.</w:t>
      </w:r>
    </w:p>
    <w:p w14:paraId="4F1DD358" w14:textId="77777777" w:rsidR="00424CB1" w:rsidRPr="00791519" w:rsidRDefault="00424CB1" w:rsidP="00424CB1">
      <w:pPr>
        <w:pStyle w:val="Nadpis2"/>
      </w:pPr>
      <w:bookmarkStart w:id="61" w:name="_Toc62201078"/>
      <w:r w:rsidRPr="00791519">
        <w:t>Řešení protikorozní ochrany</w:t>
      </w:r>
      <w:bookmarkEnd w:id="61"/>
    </w:p>
    <w:p w14:paraId="4641BE38" w14:textId="291EFAF5" w:rsidR="00424CB1" w:rsidRPr="00791519" w:rsidRDefault="00424CB1" w:rsidP="00424CB1">
      <w:pPr>
        <w:pStyle w:val="AqpText"/>
      </w:pPr>
      <w:r w:rsidRPr="00791519">
        <w:t xml:space="preserve">Materiál uliční stoky – </w:t>
      </w:r>
      <w:r w:rsidR="0098061E" w:rsidRPr="00791519">
        <w:t>kamenina</w:t>
      </w:r>
      <w:r w:rsidRPr="00791519">
        <w:t>, beton – materiál odolný proti korozi</w:t>
      </w:r>
      <w:r w:rsidR="00AA4982" w:rsidRPr="00791519">
        <w:t>.</w:t>
      </w:r>
    </w:p>
    <w:p w14:paraId="632B4FB8" w14:textId="77777777" w:rsidR="00424CB1" w:rsidRPr="00791519" w:rsidRDefault="00424CB1" w:rsidP="00424CB1">
      <w:pPr>
        <w:pStyle w:val="AqpText"/>
      </w:pPr>
      <w:r w:rsidRPr="00791519">
        <w:t>Poklopy na revizních šachtách – typ Brno (šedá litina) – odolné proti korozi</w:t>
      </w:r>
      <w:r w:rsidR="00AA4982" w:rsidRPr="00791519">
        <w:t>.</w:t>
      </w:r>
    </w:p>
    <w:p w14:paraId="0F9E3CD5" w14:textId="77777777" w:rsidR="00424CB1" w:rsidRPr="00791519" w:rsidRDefault="00424CB1" w:rsidP="00424CB1">
      <w:pPr>
        <w:pStyle w:val="AqpText"/>
      </w:pPr>
      <w:r w:rsidRPr="00791519">
        <w:t>Stupadla – „KASI“ DIN 19555-A-ST, ocelové jádro s PE povlakem – odolné proti korozi</w:t>
      </w:r>
      <w:r w:rsidR="00AA4982" w:rsidRPr="00791519">
        <w:t>.</w:t>
      </w:r>
    </w:p>
    <w:p w14:paraId="44907BF0" w14:textId="77777777" w:rsidR="00424CB1" w:rsidRPr="00791519" w:rsidRDefault="00424CB1" w:rsidP="00292340">
      <w:pPr>
        <w:pStyle w:val="Nadpis2"/>
      </w:pPr>
      <w:bookmarkStart w:id="62" w:name="_Toc62201079"/>
      <w:r w:rsidRPr="00791519">
        <w:t>Ú</w:t>
      </w:r>
      <w:r w:rsidR="00292340" w:rsidRPr="00791519">
        <w:t>daje o recipientu</w:t>
      </w:r>
      <w:bookmarkEnd w:id="62"/>
    </w:p>
    <w:p w14:paraId="75EF87BE" w14:textId="77777777" w:rsidR="00424CB1" w:rsidRPr="00791519" w:rsidRDefault="00424CB1" w:rsidP="00424CB1">
      <w:pPr>
        <w:pStyle w:val="AqpText"/>
      </w:pPr>
      <w:r w:rsidRPr="00791519">
        <w:t>Předmětná kanalizace je součástí stokové sítě města Brna. Její poloha uvnitř města dovoluje konstatovat, že rekonstruovaná stoka neovlivňuje bezprostředně žádný recipient.</w:t>
      </w:r>
    </w:p>
    <w:p w14:paraId="013770E6" w14:textId="77777777" w:rsidR="00424CB1" w:rsidRPr="00791519" w:rsidRDefault="00424CB1" w:rsidP="00292340">
      <w:pPr>
        <w:pStyle w:val="Nadpis2"/>
      </w:pPr>
      <w:bookmarkStart w:id="63" w:name="_Toc62201080"/>
      <w:r w:rsidRPr="00791519">
        <w:t>S</w:t>
      </w:r>
      <w:r w:rsidR="00292340" w:rsidRPr="00791519">
        <w:t>tanovení ochranných pásem</w:t>
      </w:r>
      <w:bookmarkEnd w:id="63"/>
    </w:p>
    <w:p w14:paraId="46F2D82F" w14:textId="77777777" w:rsidR="00424CB1" w:rsidRPr="00791519" w:rsidRDefault="00424CB1" w:rsidP="00424CB1">
      <w:pPr>
        <w:pStyle w:val="AqpText"/>
      </w:pPr>
      <w:r w:rsidRPr="00791519">
        <w:t>Budou stanovena v souladu s příslušnými normami.</w:t>
      </w:r>
    </w:p>
    <w:p w14:paraId="6D5C587E" w14:textId="77777777" w:rsidR="00292340" w:rsidRPr="00791519" w:rsidRDefault="00292340" w:rsidP="00292340">
      <w:pPr>
        <w:pStyle w:val="AqpText"/>
      </w:pPr>
      <w:r w:rsidRPr="00791519">
        <w:t>V souladu s § 23 odst. 3 zák. č. 274/2001 Sb. (Zákon o vodovodech a kanalizacích) jsou ochranná pásma vymezena vodorovnou vzdáleností od vnějšího líce stěny potrubí nebo kanalizační stoky na každou stranu</w:t>
      </w:r>
    </w:p>
    <w:p w14:paraId="0ABBC1C7" w14:textId="77777777" w:rsidR="00292340" w:rsidRPr="00791519" w:rsidRDefault="006C0F1F" w:rsidP="00292340">
      <w:pPr>
        <w:pStyle w:val="AqpText"/>
        <w:numPr>
          <w:ilvl w:val="0"/>
          <w:numId w:val="17"/>
        </w:numPr>
      </w:pPr>
      <w:r w:rsidRPr="00791519">
        <w:t>U</w:t>
      </w:r>
      <w:r w:rsidR="00292340" w:rsidRPr="00791519">
        <w:t xml:space="preserve"> vodovodních řadů a kanalizačních stok do</w:t>
      </w:r>
      <w:r w:rsidRPr="00791519">
        <w:t xml:space="preserve"> průměru 500 mm včetně, 1,5 m.</w:t>
      </w:r>
    </w:p>
    <w:p w14:paraId="6005A743" w14:textId="77777777" w:rsidR="00292340" w:rsidRPr="00791519" w:rsidRDefault="006C0F1F" w:rsidP="00292340">
      <w:pPr>
        <w:pStyle w:val="AqpText"/>
        <w:numPr>
          <w:ilvl w:val="0"/>
          <w:numId w:val="17"/>
        </w:numPr>
      </w:pPr>
      <w:r w:rsidRPr="00791519">
        <w:t>U</w:t>
      </w:r>
      <w:r w:rsidR="00292340" w:rsidRPr="00791519">
        <w:t xml:space="preserve"> vodovodních řadů a kanalizačních stok nad průměr 500 mm, 2,5 m</w:t>
      </w:r>
      <w:r w:rsidRPr="00791519">
        <w:t>.</w:t>
      </w:r>
    </w:p>
    <w:p w14:paraId="53EEA97A" w14:textId="77777777" w:rsidR="00292340" w:rsidRPr="00791519" w:rsidRDefault="006C0F1F" w:rsidP="00292340">
      <w:pPr>
        <w:pStyle w:val="AqpText"/>
        <w:numPr>
          <w:ilvl w:val="0"/>
          <w:numId w:val="17"/>
        </w:numPr>
      </w:pPr>
      <w:r w:rsidRPr="00791519">
        <w:t>U</w:t>
      </w:r>
      <w:r w:rsidR="00292340" w:rsidRPr="00791519">
        <w:t xml:space="preserve"> vodovodních řadů nebo kanalizačních stok o průměru nad 200 mm, jejichž dno je uloženo v hloubce větší než 2,5 m pod upraveným povrchem, se vzdálenost od vnějšího líce zvyšují o 1,0 m.</w:t>
      </w:r>
    </w:p>
    <w:p w14:paraId="05E89BFE" w14:textId="77777777" w:rsidR="00292340" w:rsidRPr="00791519" w:rsidRDefault="00292340" w:rsidP="00292340">
      <w:pPr>
        <w:pStyle w:val="AqpText"/>
      </w:pPr>
    </w:p>
    <w:p w14:paraId="47B51D9D" w14:textId="77777777" w:rsidR="00292340" w:rsidRPr="00791519" w:rsidRDefault="00292340" w:rsidP="00292340">
      <w:pPr>
        <w:pStyle w:val="Nadpis1"/>
      </w:pPr>
      <w:bookmarkStart w:id="64" w:name="_Toc62201081"/>
      <w:r w:rsidRPr="00791519">
        <w:t>Vytýčení stavby</w:t>
      </w:r>
      <w:bookmarkEnd w:id="64"/>
    </w:p>
    <w:p w14:paraId="0A3DEEAC" w14:textId="4903809C" w:rsidR="00292340" w:rsidRPr="00791519" w:rsidRDefault="00DD02B2" w:rsidP="00292340">
      <w:pPr>
        <w:pStyle w:val="AqpText"/>
      </w:pPr>
      <w:r w:rsidRPr="00791519">
        <w:t>Vytýčení kanalizace je doloženo v </w:t>
      </w:r>
      <w:r w:rsidR="00736C1C" w:rsidRPr="00791519">
        <w:t>příloze</w:t>
      </w:r>
      <w:r w:rsidRPr="00791519">
        <w:t xml:space="preserve"> D.1.3 – Vytyčovací prvky. </w:t>
      </w:r>
      <w:r w:rsidR="00292340" w:rsidRPr="00791519">
        <w:t xml:space="preserve"> Jednotlivé revizní šachty jsou jednoznačně identifikovány vytyčovacími body (prefabrikované šachty středem šachty, atypické šachty středem a vnějšími rohy). Tyto body jsou uvedeny v tabulce s odpovídajícími souřadnicemi v S-JTSK.</w:t>
      </w:r>
    </w:p>
    <w:p w14:paraId="04F9FFC6" w14:textId="77777777" w:rsidR="00292340" w:rsidRPr="00791519" w:rsidRDefault="00292340" w:rsidP="00292340">
      <w:pPr>
        <w:pStyle w:val="AqpText"/>
      </w:pPr>
    </w:p>
    <w:p w14:paraId="05D606C1" w14:textId="77777777" w:rsidR="00292340" w:rsidRPr="00791519" w:rsidRDefault="00292340" w:rsidP="00292340">
      <w:pPr>
        <w:pStyle w:val="Nadpis1"/>
      </w:pPr>
      <w:bookmarkStart w:id="65" w:name="_Toc62201082"/>
      <w:r w:rsidRPr="00791519">
        <w:lastRenderedPageBreak/>
        <w:t>Údaje o technologické části stavby</w:t>
      </w:r>
      <w:bookmarkEnd w:id="65"/>
    </w:p>
    <w:p w14:paraId="7ECDD9F3" w14:textId="77777777" w:rsidR="00292340" w:rsidRPr="00791519" w:rsidRDefault="00292340" w:rsidP="00292340">
      <w:pPr>
        <w:pStyle w:val="AqpText"/>
      </w:pPr>
      <w:r w:rsidRPr="00791519">
        <w:t>Stavba neobsahuje žádné technologie.</w:t>
      </w:r>
    </w:p>
    <w:p w14:paraId="403EB378" w14:textId="77777777" w:rsidR="00A945E7" w:rsidRPr="00791519" w:rsidRDefault="00A945E7" w:rsidP="00292340">
      <w:pPr>
        <w:pStyle w:val="AqpText"/>
      </w:pPr>
    </w:p>
    <w:p w14:paraId="4077C8E0" w14:textId="77777777" w:rsidR="004E5F8D" w:rsidRPr="00791519" w:rsidRDefault="004E5F8D" w:rsidP="004E5F8D">
      <w:pPr>
        <w:pStyle w:val="Nadpis1"/>
      </w:pPr>
      <w:bookmarkStart w:id="66" w:name="_Toc62201083"/>
      <w:r w:rsidRPr="00791519">
        <w:t>Zemní práce</w:t>
      </w:r>
      <w:bookmarkEnd w:id="66"/>
    </w:p>
    <w:p w14:paraId="4E6221C0" w14:textId="77777777" w:rsidR="006D7709" w:rsidRPr="00791519" w:rsidRDefault="006D7709" w:rsidP="006D7709">
      <w:pPr>
        <w:pStyle w:val="AqpText"/>
      </w:pPr>
      <w:r w:rsidRPr="00791519">
        <w:t>Před prováděním výkopů zajistí zhotovitel v prostoru staveniště vytyčení veškerých podzemních sítí jejich správci. Při provádění výkopů v blízkosti podzemního vedení, nebo při jejich křížení bude postupováno podle podmínek stanovených správcem uvedeného podzemního vedení a výkopy budou prováděny ručně. Výkopové práce v okolí stávajících sloupů budou prováděny tak, aby nebyla narušena stabilita sloupů a uzemňovací soupravy.</w:t>
      </w:r>
    </w:p>
    <w:p w14:paraId="25B59D91" w14:textId="77777777" w:rsidR="006D7709" w:rsidRPr="00791519" w:rsidRDefault="006D7709" w:rsidP="006D7709">
      <w:pPr>
        <w:pStyle w:val="AqpText"/>
      </w:pPr>
      <w:r w:rsidRPr="00791519">
        <w:t xml:space="preserve">Stavební jámy a rýhy zhotovitel zabezpečí proti vnikání povrchových vod a zabezpečí jejich odvodnění. Součástí dodávky zhotovitele bude též zřízení a likvidace případných dočasných sjezdů z komunikací. </w:t>
      </w:r>
    </w:p>
    <w:p w14:paraId="1088C5E0" w14:textId="77777777" w:rsidR="00A134DE" w:rsidRPr="00791519" w:rsidRDefault="00A134DE" w:rsidP="00A134DE">
      <w:pPr>
        <w:pStyle w:val="AqpText"/>
      </w:pPr>
      <w:bookmarkStart w:id="67" w:name="_Toc462062445"/>
      <w:r w:rsidRPr="00791519">
        <w:t>Dle záměrů IGP se po odstranění asfaltu předpokládají výkopy dominantně v soudržných kvartérních zeminách (písčité hlíny, hlíny a jíly s nízkou až střední plasticitou).</w:t>
      </w:r>
    </w:p>
    <w:p w14:paraId="6A1BDBD8" w14:textId="77777777" w:rsidR="00A134DE" w:rsidRPr="00791519" w:rsidRDefault="00A134DE" w:rsidP="00A134DE">
      <w:pPr>
        <w:pStyle w:val="AqpText"/>
      </w:pPr>
      <w:r w:rsidRPr="00791519">
        <w:t>Zatřídění dle třídy těžitelnosti (ČSN 73 3050):</w:t>
      </w:r>
    </w:p>
    <w:p w14:paraId="0FE2A5E9" w14:textId="77777777" w:rsidR="00F50EE3" w:rsidRPr="00791519" w:rsidRDefault="00F50EE3" w:rsidP="00F50EE3">
      <w:pPr>
        <w:pStyle w:val="AqpText"/>
        <w:numPr>
          <w:ilvl w:val="0"/>
          <w:numId w:val="23"/>
        </w:numPr>
      </w:pPr>
      <w:r w:rsidRPr="00791519">
        <w:rPr>
          <w:b/>
        </w:rPr>
        <w:t>Třída 4</w:t>
      </w:r>
      <w:r w:rsidRPr="00791519">
        <w:t xml:space="preserve"> – 20 % (navážka – zásypová zemina).</w:t>
      </w:r>
    </w:p>
    <w:p w14:paraId="050392DF" w14:textId="77777777" w:rsidR="00F50EE3" w:rsidRPr="00791519" w:rsidRDefault="00F50EE3" w:rsidP="00F50EE3">
      <w:pPr>
        <w:pStyle w:val="AqpText"/>
        <w:numPr>
          <w:ilvl w:val="0"/>
          <w:numId w:val="23"/>
        </w:numPr>
      </w:pPr>
      <w:r w:rsidRPr="00791519">
        <w:rPr>
          <w:b/>
        </w:rPr>
        <w:t>Třída 3</w:t>
      </w:r>
      <w:r w:rsidRPr="00791519">
        <w:t xml:space="preserve"> – 15 % (sprašová hlína).</w:t>
      </w:r>
    </w:p>
    <w:p w14:paraId="75262377" w14:textId="77777777" w:rsidR="00F50EE3" w:rsidRPr="00791519" w:rsidRDefault="00F50EE3" w:rsidP="00F50EE3">
      <w:pPr>
        <w:pStyle w:val="AqpText"/>
        <w:numPr>
          <w:ilvl w:val="0"/>
          <w:numId w:val="23"/>
        </w:numPr>
      </w:pPr>
      <w:r w:rsidRPr="00791519">
        <w:rPr>
          <w:b/>
        </w:rPr>
        <w:t>Třída 3</w:t>
      </w:r>
      <w:r w:rsidRPr="00791519">
        <w:rPr>
          <w:bCs/>
        </w:rPr>
        <w:t xml:space="preserve"> – 45 % (jílovito-písčitá hlína).</w:t>
      </w:r>
    </w:p>
    <w:p w14:paraId="532B7DBF" w14:textId="77777777" w:rsidR="00F50EE3" w:rsidRPr="00791519" w:rsidRDefault="00F50EE3" w:rsidP="00F50EE3">
      <w:pPr>
        <w:pStyle w:val="AqpText"/>
        <w:numPr>
          <w:ilvl w:val="0"/>
          <w:numId w:val="23"/>
        </w:numPr>
      </w:pPr>
      <w:r w:rsidRPr="00791519">
        <w:rPr>
          <w:b/>
        </w:rPr>
        <w:t>Třída 3</w:t>
      </w:r>
      <w:r w:rsidRPr="00791519">
        <w:rPr>
          <w:bCs/>
        </w:rPr>
        <w:t xml:space="preserve"> – 20 % (jílovitý písek).</w:t>
      </w:r>
    </w:p>
    <w:p w14:paraId="4683E96B" w14:textId="77777777" w:rsidR="00F50EE3" w:rsidRPr="00791519" w:rsidRDefault="00F50EE3" w:rsidP="00F50EE3">
      <w:pPr>
        <w:pStyle w:val="AqpText"/>
      </w:pPr>
      <w:r w:rsidRPr="00791519">
        <w:t>Podzemní voda nebyla průzkumnými pracemi zastižena.</w:t>
      </w:r>
    </w:p>
    <w:p w14:paraId="584AC500" w14:textId="08EBB915" w:rsidR="006D7709" w:rsidRPr="00791519" w:rsidRDefault="006D7709" w:rsidP="006D7709">
      <w:pPr>
        <w:pStyle w:val="Nadpis2"/>
      </w:pPr>
      <w:bookmarkStart w:id="68" w:name="_Toc62201084"/>
      <w:r w:rsidRPr="00791519">
        <w:t>S</w:t>
      </w:r>
      <w:bookmarkEnd w:id="67"/>
      <w:r w:rsidR="002D6FA2">
        <w:t>távající skladby</w:t>
      </w:r>
      <w:bookmarkEnd w:id="68"/>
    </w:p>
    <w:p w14:paraId="477466CB" w14:textId="77777777" w:rsidR="00267C66" w:rsidRPr="00791519" w:rsidRDefault="00267C66" w:rsidP="00267C66">
      <w:pPr>
        <w:pStyle w:val="AqpText"/>
      </w:pPr>
      <w:r w:rsidRPr="00791519">
        <w:t>Stávající konstrukce jsou dle geologického průzkumu – v úsecích zprůměrované tloušťky</w:t>
      </w:r>
    </w:p>
    <w:p w14:paraId="5FA722F9" w14:textId="77777777" w:rsidR="00F50EE3" w:rsidRPr="00791519" w:rsidRDefault="00F50EE3" w:rsidP="00F50EE3">
      <w:pPr>
        <w:pStyle w:val="AqpText"/>
        <w:rPr>
          <w:b/>
        </w:rPr>
      </w:pPr>
      <w:r w:rsidRPr="00791519">
        <w:t>Vozovka – ulice Gajdošova (obslužná komunikace):</w:t>
      </w:r>
    </w:p>
    <w:p w14:paraId="29F593CF" w14:textId="3C6760E3" w:rsidR="00F50EE3" w:rsidRPr="00791519" w:rsidRDefault="00F50EE3" w:rsidP="00F50EE3">
      <w:pPr>
        <w:pStyle w:val="AqpText"/>
        <w:rPr>
          <w:i/>
        </w:rPr>
      </w:pPr>
      <w:r w:rsidRPr="00791519">
        <w:rPr>
          <w:i/>
        </w:rPr>
        <w:t>úsek stoky Gajdošova (obsl. kom.) 1. část, km 0.000-0.050</w:t>
      </w:r>
    </w:p>
    <w:p w14:paraId="4D342E83" w14:textId="77777777" w:rsidR="00F50EE3" w:rsidRPr="00791519" w:rsidRDefault="00F50EE3" w:rsidP="00F50EE3">
      <w:pPr>
        <w:pStyle w:val="AqpText"/>
        <w:numPr>
          <w:ilvl w:val="0"/>
          <w:numId w:val="24"/>
        </w:numPr>
      </w:pPr>
      <w:r w:rsidRPr="00791519">
        <w:t>200 mm – Asfalt</w:t>
      </w:r>
    </w:p>
    <w:p w14:paraId="65E927E9" w14:textId="77777777" w:rsidR="00F50EE3" w:rsidRPr="00791519" w:rsidRDefault="00F50EE3" w:rsidP="00F50EE3">
      <w:pPr>
        <w:pStyle w:val="AqpText"/>
        <w:numPr>
          <w:ilvl w:val="0"/>
          <w:numId w:val="24"/>
        </w:numPr>
      </w:pPr>
      <w:r w:rsidRPr="00791519">
        <w:t>400 mm – Makadam + beton</w:t>
      </w:r>
    </w:p>
    <w:p w14:paraId="3CAD0B0F" w14:textId="7AB9AEE3" w:rsidR="00F50EE3" w:rsidRPr="00791519" w:rsidRDefault="00F50EE3" w:rsidP="00F50EE3">
      <w:pPr>
        <w:pStyle w:val="AqpText"/>
        <w:rPr>
          <w:i/>
          <w:szCs w:val="22"/>
        </w:rPr>
      </w:pPr>
      <w:r w:rsidRPr="00791519">
        <w:rPr>
          <w:i/>
        </w:rPr>
        <w:t>úsek stoky Gajdošova (obsl. kom.) 1. část, km 0.050-0.128 + propoj dešťové kanalizace</w:t>
      </w:r>
    </w:p>
    <w:p w14:paraId="558E0A20" w14:textId="77777777" w:rsidR="00F50EE3" w:rsidRPr="00791519" w:rsidRDefault="00F50EE3" w:rsidP="00F50EE3">
      <w:pPr>
        <w:pStyle w:val="AqpText"/>
        <w:numPr>
          <w:ilvl w:val="0"/>
          <w:numId w:val="25"/>
        </w:numPr>
      </w:pPr>
      <w:r w:rsidRPr="00791519">
        <w:t>400 mm – Asfalt</w:t>
      </w:r>
    </w:p>
    <w:p w14:paraId="452758FF" w14:textId="77777777" w:rsidR="00F50EE3" w:rsidRPr="00791519" w:rsidRDefault="00F50EE3" w:rsidP="00F50EE3">
      <w:pPr>
        <w:pStyle w:val="AqpText"/>
        <w:numPr>
          <w:ilvl w:val="0"/>
          <w:numId w:val="25"/>
        </w:numPr>
      </w:pPr>
      <w:r w:rsidRPr="00791519">
        <w:t>300 mm – Makadam + beton</w:t>
      </w:r>
    </w:p>
    <w:p w14:paraId="118E13A5" w14:textId="0140B0D4" w:rsidR="00F50EE3" w:rsidRPr="00791519" w:rsidRDefault="00F50EE3" w:rsidP="00F50EE3">
      <w:pPr>
        <w:pStyle w:val="AqpText"/>
        <w:rPr>
          <w:i/>
          <w:szCs w:val="22"/>
        </w:rPr>
      </w:pPr>
      <w:r w:rsidRPr="00791519">
        <w:rPr>
          <w:i/>
        </w:rPr>
        <w:t>úsek stoky Gajdošova (obsl. kom.) 2. část, km 0.000-0.071</w:t>
      </w:r>
    </w:p>
    <w:p w14:paraId="12944EBA" w14:textId="77777777" w:rsidR="00F50EE3" w:rsidRPr="00791519" w:rsidRDefault="00F50EE3" w:rsidP="00F50EE3">
      <w:pPr>
        <w:pStyle w:val="AqpText"/>
        <w:numPr>
          <w:ilvl w:val="0"/>
          <w:numId w:val="26"/>
        </w:numPr>
      </w:pPr>
      <w:r w:rsidRPr="00791519">
        <w:t>400 mm – Asfalt</w:t>
      </w:r>
    </w:p>
    <w:p w14:paraId="5E9CE85F" w14:textId="77777777" w:rsidR="00F50EE3" w:rsidRPr="00791519" w:rsidRDefault="00F50EE3" w:rsidP="00F50EE3">
      <w:pPr>
        <w:pStyle w:val="AqpText"/>
        <w:numPr>
          <w:ilvl w:val="0"/>
          <w:numId w:val="26"/>
        </w:numPr>
      </w:pPr>
      <w:r w:rsidRPr="00791519">
        <w:t>300 mm – Makadam + beton</w:t>
      </w:r>
    </w:p>
    <w:p w14:paraId="7C32775E" w14:textId="77777777" w:rsidR="00791519" w:rsidRDefault="00791519" w:rsidP="00267C66">
      <w:pPr>
        <w:pStyle w:val="AqpText"/>
        <w:rPr>
          <w:color w:val="FF0000"/>
        </w:rPr>
      </w:pPr>
    </w:p>
    <w:p w14:paraId="11674A4C" w14:textId="5181D0C2" w:rsidR="00267C66" w:rsidRPr="00791519" w:rsidRDefault="00267C66" w:rsidP="00267C66">
      <w:pPr>
        <w:pStyle w:val="AqpText"/>
      </w:pPr>
      <w:r w:rsidRPr="00791519">
        <w:lastRenderedPageBreak/>
        <w:t>Chodník – asfalt:</w:t>
      </w:r>
    </w:p>
    <w:p w14:paraId="4299F557" w14:textId="77777777" w:rsidR="00267C66" w:rsidRPr="00791519" w:rsidRDefault="00267C66" w:rsidP="00267C66">
      <w:pPr>
        <w:pStyle w:val="AqpText"/>
        <w:numPr>
          <w:ilvl w:val="0"/>
          <w:numId w:val="32"/>
        </w:numPr>
      </w:pPr>
      <w:r w:rsidRPr="00791519">
        <w:t>30 mm – Litý asfalt</w:t>
      </w:r>
    </w:p>
    <w:p w14:paraId="2765D922" w14:textId="77777777" w:rsidR="00267C66" w:rsidRPr="00791519" w:rsidRDefault="00267C66" w:rsidP="00267C66">
      <w:pPr>
        <w:pStyle w:val="AqpText"/>
        <w:numPr>
          <w:ilvl w:val="0"/>
          <w:numId w:val="32"/>
        </w:numPr>
      </w:pPr>
      <w:r w:rsidRPr="00791519">
        <w:t>150 mm – Asfaltobeton pro ložnou vrstvu</w:t>
      </w:r>
    </w:p>
    <w:p w14:paraId="1E029EE5" w14:textId="0E2E01B4" w:rsidR="00267C66" w:rsidRPr="00791519" w:rsidRDefault="00267C66" w:rsidP="00267C66">
      <w:pPr>
        <w:pStyle w:val="AqpText"/>
        <w:numPr>
          <w:ilvl w:val="0"/>
          <w:numId w:val="32"/>
        </w:numPr>
      </w:pPr>
      <w:r w:rsidRPr="00791519">
        <w:t>150 mm – Štěrkodrť</w:t>
      </w:r>
    </w:p>
    <w:p w14:paraId="65967335" w14:textId="77777777" w:rsidR="00267C66" w:rsidRPr="00791519" w:rsidRDefault="00267C66" w:rsidP="00267C66">
      <w:pPr>
        <w:pStyle w:val="AqpText"/>
      </w:pPr>
      <w:r w:rsidRPr="00791519">
        <w:t>Chodník – zámková dlažba, betonová dlažba:</w:t>
      </w:r>
    </w:p>
    <w:p w14:paraId="57CEA50C" w14:textId="77777777" w:rsidR="00267C66" w:rsidRPr="00791519" w:rsidRDefault="00267C66" w:rsidP="00267C66">
      <w:pPr>
        <w:pStyle w:val="AqpText"/>
        <w:numPr>
          <w:ilvl w:val="0"/>
          <w:numId w:val="33"/>
        </w:numPr>
      </w:pPr>
      <w:r w:rsidRPr="00791519">
        <w:t>60 mm – Zámková dlažba, betonová dlažba</w:t>
      </w:r>
    </w:p>
    <w:p w14:paraId="2D9EB3AC" w14:textId="77777777" w:rsidR="00267C66" w:rsidRPr="00791519" w:rsidRDefault="00267C66" w:rsidP="00267C66">
      <w:pPr>
        <w:pStyle w:val="AqpText"/>
        <w:numPr>
          <w:ilvl w:val="0"/>
          <w:numId w:val="33"/>
        </w:numPr>
      </w:pPr>
      <w:r w:rsidRPr="00791519">
        <w:t>40 mm – Kamenivo drcené</w:t>
      </w:r>
    </w:p>
    <w:p w14:paraId="3B8C195F" w14:textId="46E1D993" w:rsidR="00267C66" w:rsidRPr="00791519" w:rsidRDefault="00267C66" w:rsidP="00267C66">
      <w:pPr>
        <w:pStyle w:val="AqpText"/>
        <w:numPr>
          <w:ilvl w:val="0"/>
          <w:numId w:val="33"/>
        </w:numPr>
      </w:pPr>
      <w:r w:rsidRPr="00791519">
        <w:t>150 mm – Štěrkodrť</w:t>
      </w:r>
    </w:p>
    <w:p w14:paraId="08B614A7" w14:textId="77777777" w:rsidR="00267C66" w:rsidRPr="00791519" w:rsidRDefault="00267C66" w:rsidP="00267C66">
      <w:pPr>
        <w:pStyle w:val="AqpText"/>
      </w:pPr>
      <w:r w:rsidRPr="00791519">
        <w:t>Nezpevněný terén:</w:t>
      </w:r>
    </w:p>
    <w:p w14:paraId="4C42F48D" w14:textId="77777777" w:rsidR="00267C66" w:rsidRPr="00791519" w:rsidRDefault="00267C66" w:rsidP="00267C66">
      <w:pPr>
        <w:pStyle w:val="AqpText"/>
        <w:numPr>
          <w:ilvl w:val="0"/>
          <w:numId w:val="34"/>
        </w:numPr>
      </w:pPr>
      <w:r w:rsidRPr="00791519">
        <w:t>300 mm – Ornice</w:t>
      </w:r>
    </w:p>
    <w:p w14:paraId="3FACB3AB" w14:textId="77777777" w:rsidR="004E5F8D" w:rsidRPr="00791519" w:rsidRDefault="004E5F8D" w:rsidP="004E5F8D">
      <w:pPr>
        <w:pStyle w:val="Nadpis2"/>
      </w:pPr>
      <w:bookmarkStart w:id="69" w:name="_Toc62201085"/>
      <w:r w:rsidRPr="00791519">
        <w:t>Výkopy</w:t>
      </w:r>
      <w:bookmarkEnd w:id="69"/>
    </w:p>
    <w:p w14:paraId="5F7576EB" w14:textId="77777777" w:rsidR="004E5F8D" w:rsidRPr="00791519" w:rsidRDefault="004E5F8D" w:rsidP="004E5F8D">
      <w:pPr>
        <w:pStyle w:val="AqpText"/>
      </w:pPr>
      <w:r w:rsidRPr="00791519">
        <w:t>Výkopy zahrnují výkop rýhy, nebo jámy a zajištění výkopu pažením. Při výkopových pracích musí zhotovitel soustavně zajišťovat odvádění povrchových a podzemních vod tak, aby nedošlo ke znehodnocování těžené zeminy, snížení stability svahů a stěn podmáčením apod. Za stabilitu výkopu odpovídá zhotovitel.</w:t>
      </w:r>
    </w:p>
    <w:p w14:paraId="3860005F" w14:textId="77777777" w:rsidR="004E5F8D" w:rsidRPr="00791519" w:rsidRDefault="004E5F8D" w:rsidP="004E5F8D">
      <w:pPr>
        <w:pStyle w:val="AqpText"/>
      </w:pPr>
      <w:r w:rsidRPr="00791519">
        <w:t>Únosnost základové spáry musí zhotovitel ověřit. Pokud vlastnosti zemin/hornin v základové spáře nedosahují požadovaných parametrů, bude provedena</w:t>
      </w:r>
      <w:r w:rsidR="005676C1" w:rsidRPr="00791519">
        <w:t xml:space="preserve"> vhodná úprava základové spáry.</w:t>
      </w:r>
    </w:p>
    <w:p w14:paraId="55FAFEAC" w14:textId="77777777" w:rsidR="008D0C3D" w:rsidRPr="00791519" w:rsidRDefault="008D0C3D" w:rsidP="008D0C3D">
      <w:pPr>
        <w:pStyle w:val="Nadpis2"/>
      </w:pPr>
      <w:bookmarkStart w:id="70" w:name="_Toc62201086"/>
      <w:r w:rsidRPr="00791519">
        <w:t>Pažení</w:t>
      </w:r>
      <w:r w:rsidR="001111BB" w:rsidRPr="00791519">
        <w:t xml:space="preserve"> </w:t>
      </w:r>
      <w:r w:rsidR="001B27E1" w:rsidRPr="00791519">
        <w:t>rýhy</w:t>
      </w:r>
      <w:bookmarkEnd w:id="70"/>
    </w:p>
    <w:p w14:paraId="1908F53D" w14:textId="77777777" w:rsidR="008D0C3D" w:rsidRPr="00791519" w:rsidRDefault="008D0C3D" w:rsidP="008D0C3D">
      <w:pPr>
        <w:pStyle w:val="AqpText"/>
      </w:pPr>
      <w:r w:rsidRPr="00791519">
        <w:t>Pažení stěn výkopů zajistí zhotovitel všude, kde je to nezbytné z hlediska bezpečnosti práce a stability stěn a okolí. Pažení musí zajistit bezpečnost práce pod stěnami výkopu, zabránit poklesu okolního území a zabránit ohrožení stability stávajících nebo budovaných sousedních objektů a inženýrských sítí. Vnitřní rozměry zapaženého prostoru musí poskytnout potřebný pracovní prostor pro provádění prací.</w:t>
      </w:r>
    </w:p>
    <w:p w14:paraId="07B4D618" w14:textId="77777777" w:rsidR="008D0C3D" w:rsidRPr="00791519" w:rsidRDefault="008D0C3D" w:rsidP="008D0C3D">
      <w:pPr>
        <w:pStyle w:val="AqpText"/>
      </w:pPr>
      <w:r w:rsidRPr="00791519">
        <w:t xml:space="preserve">Po ukončení prací bude pažení i jeho zajištění odstraněno. Odstranění se provede takovým způsobem, aby nedošlo </w:t>
      </w:r>
      <w:r w:rsidR="00282136" w:rsidRPr="00791519">
        <w:br/>
      </w:r>
      <w:r w:rsidRPr="00791519">
        <w:t>k poškození povrchu nebo části nové konstrukce nebo potrubí.</w:t>
      </w:r>
    </w:p>
    <w:p w14:paraId="3F85FB49" w14:textId="77777777" w:rsidR="00EB6D64" w:rsidRPr="00791519" w:rsidRDefault="008D0C3D" w:rsidP="008D0C3D">
      <w:pPr>
        <w:pStyle w:val="AqpText"/>
      </w:pPr>
      <w:r w:rsidRPr="00791519">
        <w:t xml:space="preserve">Z důvodu vymezeného koridoru pro vedení kanalizace, nutných hloubek jejího založení a s ohledem na trasy podzemních sítí technického vybavení se navrhují výkopové rýhy se svislými stěnami pažené </w:t>
      </w:r>
      <w:r w:rsidR="00EA0C05" w:rsidRPr="00791519">
        <w:t>zátažným pažením</w:t>
      </w:r>
      <w:r w:rsidR="001111BB" w:rsidRPr="00791519">
        <w:t>.</w:t>
      </w:r>
    </w:p>
    <w:p w14:paraId="1205EB93" w14:textId="77777777" w:rsidR="008D0C3D" w:rsidRPr="00791519" w:rsidRDefault="008D0C3D" w:rsidP="008D0C3D">
      <w:pPr>
        <w:pStyle w:val="Nadpis2"/>
      </w:pPr>
      <w:bookmarkStart w:id="71" w:name="_Toc62201087"/>
      <w:r w:rsidRPr="00791519">
        <w:t>Podsypy, obsypy a zásypy</w:t>
      </w:r>
      <w:bookmarkEnd w:id="71"/>
    </w:p>
    <w:p w14:paraId="082B27E5" w14:textId="77777777" w:rsidR="008D0C3D" w:rsidRPr="00791519" w:rsidRDefault="008D0C3D" w:rsidP="008D0C3D">
      <w:pPr>
        <w:pStyle w:val="AqpText"/>
      </w:pPr>
      <w:r w:rsidRPr="00791519">
        <w:t>Pro podsypy, obsypy a zásypy budou použity vhodné materiály a jejich zhutnění bude prováděno v předepsaných vrstvách podle použitého materiálu</w:t>
      </w:r>
      <w:r w:rsidR="00B45915" w:rsidRPr="00791519">
        <w:t>.</w:t>
      </w:r>
      <w:r w:rsidRPr="00791519">
        <w:t xml:space="preserve"> </w:t>
      </w:r>
      <w:r w:rsidR="00B45915" w:rsidRPr="00791519">
        <w:t>V</w:t>
      </w:r>
      <w:r w:rsidRPr="00791519">
        <w:t>še v souladu s platnými legislativními předpisy a normami (především ČSN 73 3050 Zemní práce, ČSN 73 6133 Navrhování a provádění zemního tělesa pozemních komunikací, ČSN 72 1015 Laboratorní stanovení zhutnitelnosti zemin, ČSN 72 1006 Kontrola zhutnění zemin a sypanin, a dalšími specializovanými normami) a předpisy výrobce potrubí.</w:t>
      </w:r>
    </w:p>
    <w:p w14:paraId="7AA62639" w14:textId="77777777" w:rsidR="008D0C3D" w:rsidRPr="00791519" w:rsidRDefault="008D0C3D" w:rsidP="008D0C3D">
      <w:pPr>
        <w:pStyle w:val="AqpText"/>
      </w:pPr>
      <w:r w:rsidRPr="00791519">
        <w:lastRenderedPageBreak/>
        <w:t>Při výkopech bude zhotovitel selektivně přistupovat k rozlišení zemin z hlediska možného využití pro zpětné podsypy, obsypy a zásypy. Zemina nevhodná se bude odvážet na trvalou dep</w:t>
      </w:r>
      <w:r w:rsidR="00B45915" w:rsidRPr="00791519">
        <w:t>o</w:t>
      </w:r>
      <w:r w:rsidRPr="00791519">
        <w:t>n</w:t>
      </w:r>
      <w:r w:rsidR="00B45915" w:rsidRPr="00791519">
        <w:t>ii</w:t>
      </w:r>
      <w:r w:rsidRPr="00791519">
        <w:t xml:space="preserve"> a bude zhotovitelem nahrazena jiným vhodným materiálem.</w:t>
      </w:r>
    </w:p>
    <w:p w14:paraId="53155516" w14:textId="77777777" w:rsidR="008D0C3D" w:rsidRPr="00791519" w:rsidRDefault="008D0C3D" w:rsidP="008D0C3D">
      <w:pPr>
        <w:pStyle w:val="AqpText"/>
      </w:pPr>
      <w:r w:rsidRPr="00791519">
        <w:t>Do podsypů, obsypů ani zásypů se nesmí ukládat zmrzlé nebo sněhem promočené soudržné zeminy. Podsypy, obsypy a zásypy se nesmí ukládat na zmrzlou zeminu.</w:t>
      </w:r>
    </w:p>
    <w:p w14:paraId="746E1AE9" w14:textId="77777777" w:rsidR="008D0C3D" w:rsidRPr="00791519" w:rsidRDefault="008D0C3D" w:rsidP="008D0C3D">
      <w:pPr>
        <w:pStyle w:val="AqpText"/>
      </w:pPr>
      <w:r w:rsidRPr="00791519">
        <w:t>V případě zastižení nevhodných zemin špatných geotechnických kvalit (např. neúnosné, st</w:t>
      </w:r>
      <w:r w:rsidR="002B05C6" w:rsidRPr="00791519">
        <w:t>l</w:t>
      </w:r>
      <w:r w:rsidRPr="00791519">
        <w:t>ačitelné zeminy) budou tyto ze základové spáry odstraněny a nahrazeny skeletovou vrstvou z hutněného štěrku. Tato vrstva bude uložená do výztužné tkané geotextílie z polypropylenových vláken 100% UV stabilizovaných o plošné hmotnosti minimálně 215 g/m</w:t>
      </w:r>
      <w:r w:rsidRPr="00791519">
        <w:rPr>
          <w:vertAlign w:val="superscript"/>
        </w:rPr>
        <w:t>2</w:t>
      </w:r>
      <w:r w:rsidRPr="00791519">
        <w:t xml:space="preserve">, pevnost v tahu 40 kN/m, mezní protažení 16% a vyztužená geomříží. Mocnost této vrstvy bude min. 40 cm. Tato vrstva bude </w:t>
      </w:r>
      <w:r w:rsidR="00ED2AB1" w:rsidRPr="00791519">
        <w:t>v případě výskytu zvýšené</w:t>
      </w:r>
      <w:r w:rsidRPr="00791519">
        <w:t xml:space="preserve"> hladin</w:t>
      </w:r>
      <w:r w:rsidR="00ED2AB1" w:rsidRPr="00791519">
        <w:t>y</w:t>
      </w:r>
      <w:r w:rsidRPr="00791519">
        <w:t xml:space="preserve"> podzemní vody zároveň sloužit jako plošný drén.</w:t>
      </w:r>
    </w:p>
    <w:p w14:paraId="3F0B4864" w14:textId="77777777" w:rsidR="008D0C3D" w:rsidRPr="00791519" w:rsidRDefault="008D0C3D" w:rsidP="008D0C3D">
      <w:pPr>
        <w:pStyle w:val="AqpText"/>
      </w:pPr>
      <w:r w:rsidRPr="00791519">
        <w:t xml:space="preserve">Výkopy rýh pro potrubí budou zasypávány v celé šířce po dokončení osazení potrubí a provedení příslušných zkoušek. </w:t>
      </w:r>
    </w:p>
    <w:p w14:paraId="2EE505F6" w14:textId="429A3562" w:rsidR="00EB6D64" w:rsidRPr="00791519" w:rsidRDefault="008D0C3D" w:rsidP="008D0C3D">
      <w:pPr>
        <w:pStyle w:val="AqpText"/>
      </w:pPr>
      <w:r w:rsidRPr="00791519">
        <w:t>Zpětný obsyp a zásyp se musí provádět současně po obou stranách potrubí, aby nedocházelo k nerovnoměrným tlakům. Hutnění v blízkosti potrubí se musí provádět takovým způsobem, aby nedošlo k vybočení nebo poškození potrubí atd. Bednění, pažení a jiné pomocné zařízení musí být před zpětným zásypem odstraněno nebo v průběhu hutnění postupně vytahováno, aby hutnění probíhalo proti rostlé zemině. Postupné vytahování pažení musí být prováděno tak, aby nedocházelo k dodatečnému vytahování pažnic z již zhutněného obsypu nebo z</w:t>
      </w:r>
      <w:r w:rsidR="001B6086" w:rsidRPr="00791519">
        <w:t>ásypu a tím k jeho nakypřování.</w:t>
      </w:r>
    </w:p>
    <w:p w14:paraId="23227BD8" w14:textId="77777777" w:rsidR="00ED2AB1" w:rsidRPr="00791519" w:rsidRDefault="00ED2AB1" w:rsidP="00ED2AB1">
      <w:pPr>
        <w:pStyle w:val="Nadpis3"/>
      </w:pPr>
      <w:bookmarkStart w:id="72" w:name="_Toc62201088"/>
      <w:r w:rsidRPr="00791519">
        <w:t>Zásypy v nezpevněných plochách</w:t>
      </w:r>
      <w:bookmarkEnd w:id="72"/>
    </w:p>
    <w:p w14:paraId="7CF5E043" w14:textId="77777777" w:rsidR="00EB6D64" w:rsidRPr="00791519" w:rsidRDefault="00ED2AB1" w:rsidP="00ED2AB1">
      <w:pPr>
        <w:pStyle w:val="AqpText"/>
      </w:pPr>
      <w:r w:rsidRPr="00791519">
        <w:t xml:space="preserve">Zpětné zásypy na úroveň stávajícího terénu v nezpevněných plochách budou provedeny materiálem získaným při výkopových pracích. Zásypy budou hutněny po vrstvách odpovídajících použitému hutnícímu prostředku na stejnou míru jako okolní terén, aby nedocházelo k </w:t>
      </w:r>
      <w:r w:rsidR="001B6086" w:rsidRPr="00791519">
        <w:t>následným poklesům zásypů.</w:t>
      </w:r>
    </w:p>
    <w:p w14:paraId="7FA95F86" w14:textId="77777777" w:rsidR="00ED2AB1" w:rsidRPr="00791519" w:rsidRDefault="00ED2AB1" w:rsidP="00ED2AB1">
      <w:pPr>
        <w:pStyle w:val="Nadpis3"/>
      </w:pPr>
      <w:bookmarkStart w:id="73" w:name="_Toc62201089"/>
      <w:r w:rsidRPr="00791519">
        <w:t>Zásypy v komunikacích</w:t>
      </w:r>
      <w:bookmarkEnd w:id="73"/>
    </w:p>
    <w:p w14:paraId="1FC29B2E" w14:textId="77777777" w:rsidR="00ED2AB1" w:rsidRPr="00791519" w:rsidRDefault="00ED2AB1" w:rsidP="00ED2AB1">
      <w:pPr>
        <w:pStyle w:val="AqpText"/>
      </w:pPr>
      <w:r w:rsidRPr="00791519">
        <w:t>Na zpětné zásypy v komunikacích a pojezdových plochách bude použitý pouze vhodný nesoudržný a nesedavý materiál podle „TP 146 Povolování a provádění výkopů a zásypů rýh pro inženýrské sítě ve</w:t>
      </w:r>
      <w:r w:rsidR="003B7C42" w:rsidRPr="00791519">
        <w:t xml:space="preserve"> vozovkách pozemních komunikací“</w:t>
      </w:r>
      <w:r w:rsidRPr="00791519">
        <w:t>. Hutnění zásypů pod komunikacemi, kontroly kvality, zkoušky a jejich četnost budou prováděny také podle požadavků TP 146. Stejné požadavky na zásypy platí i pro výkopy vedle komunikace do vzdálenosti 1,5 m od komunikace.</w:t>
      </w:r>
    </w:p>
    <w:p w14:paraId="07C80529" w14:textId="77777777" w:rsidR="00ED2AB1" w:rsidRPr="00791519" w:rsidRDefault="00ED2AB1" w:rsidP="00ED2AB1">
      <w:pPr>
        <w:pStyle w:val="AqpText"/>
      </w:pPr>
      <w:r w:rsidRPr="00791519">
        <w:t>Zásyp bude nesoudržným nesedavým m</w:t>
      </w:r>
      <w:r w:rsidR="00FD3387" w:rsidRPr="00791519">
        <w:t xml:space="preserve">ateriálem (štěrkopísek, štěrk) až po úroveň pláně. Pro zásypy konstrukci vozovky </w:t>
      </w:r>
      <w:r w:rsidR="007D3B17" w:rsidRPr="00791519">
        <w:t>bude použit asfaltový recyklát.</w:t>
      </w:r>
    </w:p>
    <w:p w14:paraId="1F7ABA62" w14:textId="77777777" w:rsidR="006A0A99" w:rsidRPr="00791519" w:rsidRDefault="006A0A99" w:rsidP="00ED2AB1">
      <w:pPr>
        <w:pStyle w:val="AqpText"/>
      </w:pPr>
      <w:r w:rsidRPr="00791519">
        <w:t>Pro provizorní zásyp rýhy v komunikaci bude použit živičný recyklát tloušťky 500 mm. Pro provizorní zásyp rýhy v chodníku bude použit živičný recyklát tloušťky 250 mm.</w:t>
      </w:r>
    </w:p>
    <w:p w14:paraId="424CF5D4" w14:textId="77777777" w:rsidR="008D0C3D" w:rsidRPr="00791519" w:rsidRDefault="00ED2AB1" w:rsidP="00ED2AB1">
      <w:pPr>
        <w:pStyle w:val="Nadpis2"/>
      </w:pPr>
      <w:bookmarkStart w:id="74" w:name="_Toc62201090"/>
      <w:r w:rsidRPr="00791519">
        <w:t>Hutnění</w:t>
      </w:r>
      <w:bookmarkEnd w:id="74"/>
    </w:p>
    <w:p w14:paraId="1D7F90A6" w14:textId="77777777" w:rsidR="008D0C3D" w:rsidRPr="00791519" w:rsidRDefault="008D0C3D" w:rsidP="008D0C3D">
      <w:pPr>
        <w:pStyle w:val="AqpText"/>
      </w:pPr>
      <w:r w:rsidRPr="00791519">
        <w:t>Hutnění bude prováděno vibračními pěchy, deskami, ručními vibračními vály, nebo jinou vhodnou technikou. Mocnost ukládaných a hutněných vrstev bude přizpůsobena použité hutnící technice, šířce rýhy a zhutnitelnosti materiálu</w:t>
      </w:r>
      <w:r w:rsidR="00ED2AB1" w:rsidRPr="00791519">
        <w:t>, maximálně však 20 cm. Dosažený stupeň zhutnění musí být min 95 % PS. Ekvivalentní modul pružnosti E</w:t>
      </w:r>
      <w:r w:rsidR="00ED2AB1" w:rsidRPr="00791519">
        <w:rPr>
          <w:vertAlign w:val="subscript"/>
        </w:rPr>
        <w:t>ns</w:t>
      </w:r>
      <w:r w:rsidR="00ED2AB1" w:rsidRPr="00791519">
        <w:t xml:space="preserve"> </w:t>
      </w:r>
      <w:r w:rsidR="00ED2AB1" w:rsidRPr="00791519">
        <w:sym w:font="Symbol" w:char="F0B3"/>
      </w:r>
      <w:r w:rsidR="00ED2AB1" w:rsidRPr="00791519">
        <w:t xml:space="preserve"> 45 MPa.</w:t>
      </w:r>
    </w:p>
    <w:p w14:paraId="41DCE07C" w14:textId="77777777" w:rsidR="00ED2AB1" w:rsidRPr="00791519" w:rsidRDefault="00ED2AB1" w:rsidP="00ED2AB1">
      <w:pPr>
        <w:pStyle w:val="AqpText"/>
      </w:pPr>
      <w:r w:rsidRPr="00791519">
        <w:lastRenderedPageBreak/>
        <w:t>Výsledkem musí být stav, kdy nebude docházet k žádným poklesům ani v prostoru zpevněné vozovky, ani v prostoru chodníků.</w:t>
      </w:r>
    </w:p>
    <w:p w14:paraId="519CC705" w14:textId="0C52CA8B" w:rsidR="00A66AD1" w:rsidRPr="00791519" w:rsidRDefault="00ED2AB1" w:rsidP="008D0C3D">
      <w:pPr>
        <w:pStyle w:val="AqpText"/>
      </w:pPr>
      <w:r w:rsidRPr="00791519">
        <w:t>Konkrétní skladba jednotlivých vrstev ve výkopu se bude řídit vzorovým výkres</w:t>
      </w:r>
      <w:r w:rsidR="00E602C9" w:rsidRPr="00791519">
        <w:t>em</w:t>
      </w:r>
      <w:r w:rsidRPr="00791519">
        <w:t xml:space="preserve"> uložení potrubí (příloh</w:t>
      </w:r>
      <w:r w:rsidR="00B42011" w:rsidRPr="00791519">
        <w:t>a</w:t>
      </w:r>
      <w:r w:rsidRPr="00791519">
        <w:t xml:space="preserve"> D.1.7.1).</w:t>
      </w:r>
    </w:p>
    <w:p w14:paraId="068BD9B8" w14:textId="77777777" w:rsidR="00ED2AB1" w:rsidRPr="00791519" w:rsidRDefault="00A66AD1" w:rsidP="00A66AD1">
      <w:pPr>
        <w:pStyle w:val="Nadpis2"/>
      </w:pPr>
      <w:bookmarkStart w:id="75" w:name="_Toc62201091"/>
      <w:r w:rsidRPr="00791519">
        <w:t>Odvoz nevhodného materiálu</w:t>
      </w:r>
      <w:bookmarkEnd w:id="75"/>
    </w:p>
    <w:p w14:paraId="3E2C2596" w14:textId="77777777" w:rsidR="002D0192" w:rsidRPr="00791519" w:rsidRDefault="002D0192" w:rsidP="002D0192">
      <w:pPr>
        <w:pStyle w:val="AqpText"/>
      </w:pPr>
      <w:r w:rsidRPr="00791519">
        <w:t>Tabulka odpadů produkovaných v době výstavby a způsoby nakládání s nimi je detailně řešena B.6.1 (Vliv na životní prostředí) v příloze B této PD (Souhrnná technická zpráva).</w:t>
      </w:r>
    </w:p>
    <w:p w14:paraId="3EAAB8BE" w14:textId="77777777" w:rsidR="002D0192" w:rsidRPr="00791519" w:rsidRDefault="002D0192" w:rsidP="002D0192">
      <w:pPr>
        <w:pStyle w:val="AqpText"/>
      </w:pPr>
      <w:r w:rsidRPr="00791519">
        <w:t xml:space="preserve">Všeobecně lze říci, že během stavby kanalizace bude řešen: </w:t>
      </w:r>
    </w:p>
    <w:p w14:paraId="367E3547" w14:textId="5725DD99" w:rsidR="002D0192" w:rsidRPr="00791519" w:rsidRDefault="002D0192" w:rsidP="002D0192">
      <w:pPr>
        <w:pStyle w:val="AqpText"/>
        <w:ind w:firstLine="709"/>
      </w:pPr>
      <w:r w:rsidRPr="00791519">
        <w:t xml:space="preserve">Odvoz konstrukčních vrstev vybouraných vozovek </w:t>
      </w:r>
      <w:r w:rsidRPr="00791519">
        <w:tab/>
      </w:r>
      <w:r w:rsidRPr="00791519">
        <w:tab/>
      </w:r>
      <w:r w:rsidRPr="00791519">
        <w:tab/>
        <w:t xml:space="preserve">– recyklační linka Dufonev – </w:t>
      </w:r>
      <w:r w:rsidR="00B42011" w:rsidRPr="00791519">
        <w:t>5</w:t>
      </w:r>
      <w:r w:rsidRPr="00791519">
        <w:t xml:space="preserve"> km</w:t>
      </w:r>
    </w:p>
    <w:p w14:paraId="22CEBFFC" w14:textId="6E948B96" w:rsidR="002D0192" w:rsidRPr="00791519" w:rsidRDefault="002D0192" w:rsidP="002D0192">
      <w:pPr>
        <w:pStyle w:val="AqpText"/>
        <w:ind w:firstLine="709"/>
      </w:pPr>
      <w:r w:rsidRPr="00791519">
        <w:t xml:space="preserve">Odvoz vybouraného kanalizačního potrubí a dalších konstrukcí </w:t>
      </w:r>
      <w:r w:rsidRPr="00791519">
        <w:tab/>
        <w:t xml:space="preserve">– recyklační linka Dufonev – </w:t>
      </w:r>
      <w:r w:rsidR="00B42011" w:rsidRPr="00791519">
        <w:t>5</w:t>
      </w:r>
      <w:r w:rsidRPr="00791519">
        <w:t xml:space="preserve"> km</w:t>
      </w:r>
    </w:p>
    <w:p w14:paraId="70A7DC31" w14:textId="77777777" w:rsidR="002D0192" w:rsidRPr="00791519" w:rsidRDefault="002D0192" w:rsidP="002D0192">
      <w:pPr>
        <w:pStyle w:val="AqpText"/>
        <w:ind w:firstLine="709"/>
      </w:pPr>
      <w:r w:rsidRPr="00791519">
        <w:t>Odvoz vytěžené zeminy:</w:t>
      </w:r>
    </w:p>
    <w:p w14:paraId="72B74619" w14:textId="69A11EDD" w:rsidR="002D0192" w:rsidRPr="00791519" w:rsidRDefault="002D0192" w:rsidP="002D0192">
      <w:pPr>
        <w:pStyle w:val="AqpText"/>
        <w:ind w:left="709" w:firstLine="709"/>
      </w:pPr>
      <w:r w:rsidRPr="00791519">
        <w:t xml:space="preserve">navážka </w:t>
      </w:r>
      <w:r w:rsidRPr="00791519">
        <w:tab/>
      </w:r>
      <w:r w:rsidRPr="00791519">
        <w:tab/>
      </w:r>
      <w:r w:rsidRPr="00791519">
        <w:tab/>
      </w:r>
      <w:r w:rsidRPr="00791519">
        <w:tab/>
      </w:r>
      <w:r w:rsidRPr="00791519">
        <w:tab/>
      </w:r>
      <w:r w:rsidRPr="00791519">
        <w:tab/>
        <w:t xml:space="preserve">– </w:t>
      </w:r>
      <w:r w:rsidR="00122389" w:rsidRPr="00791519">
        <w:t>recyklační linka Dufonev</w:t>
      </w:r>
      <w:r w:rsidRPr="00791519">
        <w:t xml:space="preserve"> – </w:t>
      </w:r>
      <w:r w:rsidR="00B42011" w:rsidRPr="00791519">
        <w:t>5</w:t>
      </w:r>
      <w:r w:rsidR="007D3B17" w:rsidRPr="00791519">
        <w:t xml:space="preserve"> km</w:t>
      </w:r>
    </w:p>
    <w:p w14:paraId="7C09287C" w14:textId="13BF51D7" w:rsidR="002D0192" w:rsidRPr="00791519" w:rsidRDefault="002D0192" w:rsidP="002D0192">
      <w:pPr>
        <w:pStyle w:val="AqpText"/>
        <w:ind w:left="709" w:firstLine="709"/>
      </w:pPr>
      <w:r w:rsidRPr="00791519">
        <w:t xml:space="preserve">hlinitý materiál </w:t>
      </w:r>
      <w:r w:rsidRPr="00791519">
        <w:tab/>
      </w:r>
      <w:r w:rsidRPr="00791519">
        <w:tab/>
      </w:r>
      <w:r w:rsidRPr="00791519">
        <w:tab/>
      </w:r>
      <w:r w:rsidRPr="00791519">
        <w:tab/>
      </w:r>
      <w:r w:rsidRPr="00791519">
        <w:tab/>
      </w:r>
      <w:r w:rsidRPr="00791519">
        <w:tab/>
      </w:r>
      <w:r w:rsidR="00122389" w:rsidRPr="00791519">
        <w:t>– recyklační linka Dufonev</w:t>
      </w:r>
      <w:r w:rsidRPr="00791519">
        <w:t xml:space="preserve"> – </w:t>
      </w:r>
      <w:r w:rsidR="00B42011" w:rsidRPr="00791519">
        <w:t>5</w:t>
      </w:r>
      <w:r w:rsidRPr="00791519">
        <w:t xml:space="preserve"> km</w:t>
      </w:r>
    </w:p>
    <w:p w14:paraId="0663238C" w14:textId="77777777" w:rsidR="002D0192" w:rsidRPr="00791519" w:rsidRDefault="002D0192" w:rsidP="002D0192">
      <w:pPr>
        <w:pStyle w:val="AqpText"/>
        <w:rPr>
          <w:i/>
        </w:rPr>
      </w:pPr>
      <w:r w:rsidRPr="00791519">
        <w:rPr>
          <w:i/>
        </w:rPr>
        <w:t>Pozn.</w:t>
      </w:r>
      <w:r w:rsidRPr="00791519">
        <w:rPr>
          <w:i/>
        </w:rPr>
        <w:tab/>
        <w:t>Všechny vzdálenosti jsou uvedeny pouze pro jeden směr jízdy.</w:t>
      </w:r>
    </w:p>
    <w:p w14:paraId="24576723" w14:textId="77777777" w:rsidR="008D0C3D" w:rsidRPr="00791519" w:rsidRDefault="008D0C3D">
      <w:pPr>
        <w:pStyle w:val="AqpText"/>
      </w:pPr>
    </w:p>
    <w:p w14:paraId="481C62CF" w14:textId="77777777" w:rsidR="00A66AD1" w:rsidRPr="00791519" w:rsidRDefault="00A66AD1" w:rsidP="00A66AD1">
      <w:pPr>
        <w:pStyle w:val="Nadpis1"/>
      </w:pPr>
      <w:bookmarkStart w:id="76" w:name="_Toc62201092"/>
      <w:r w:rsidRPr="00791519">
        <w:t>Termín zahájení stavby</w:t>
      </w:r>
      <w:bookmarkEnd w:id="76"/>
    </w:p>
    <w:p w14:paraId="040788C7" w14:textId="57C1A873" w:rsidR="007D3B17" w:rsidRPr="00791519" w:rsidRDefault="007D3B17" w:rsidP="007D3B17">
      <w:pPr>
        <w:pStyle w:val="AqpText"/>
      </w:pPr>
      <w:r w:rsidRPr="00791519">
        <w:t>Předpokládá se zahájení v roce 20</w:t>
      </w:r>
      <w:r w:rsidR="002424E4" w:rsidRPr="00791519">
        <w:t>22</w:t>
      </w:r>
      <w:r w:rsidRPr="00791519">
        <w:t>.</w:t>
      </w:r>
    </w:p>
    <w:p w14:paraId="3016EB26" w14:textId="77777777" w:rsidR="007D3B17" w:rsidRPr="00791519" w:rsidRDefault="007D3B17" w:rsidP="007D3B17">
      <w:pPr>
        <w:pStyle w:val="AqpText"/>
      </w:pPr>
      <w:r w:rsidRPr="00791519">
        <w:t>Přesný termín zahájení bude (mimo jiné) závislý od průběhu výběrového řízení na zhotovitele stavby.</w:t>
      </w:r>
    </w:p>
    <w:p w14:paraId="7A47D4C3" w14:textId="77777777" w:rsidR="00A66AD1" w:rsidRPr="00791519" w:rsidRDefault="00A66AD1" w:rsidP="00A66AD1">
      <w:pPr>
        <w:pStyle w:val="AqpText"/>
      </w:pPr>
    </w:p>
    <w:p w14:paraId="30BA3361" w14:textId="77777777" w:rsidR="00A66AD1" w:rsidRPr="00791519" w:rsidRDefault="00A66AD1" w:rsidP="00A66AD1">
      <w:pPr>
        <w:pStyle w:val="Nadpis1"/>
      </w:pPr>
      <w:bookmarkStart w:id="77" w:name="_Toc62201093"/>
      <w:r w:rsidRPr="00791519">
        <w:t>Zkušební provoz</w:t>
      </w:r>
      <w:bookmarkEnd w:id="77"/>
    </w:p>
    <w:p w14:paraId="7251D180" w14:textId="77777777" w:rsidR="00A66AD1" w:rsidRPr="00791519" w:rsidRDefault="00A66AD1" w:rsidP="00A66AD1">
      <w:pPr>
        <w:pStyle w:val="AqpText"/>
      </w:pPr>
      <w:r w:rsidRPr="00791519">
        <w:t>Na základě požadavku investora se zkušební provoz nepředepisuje.</w:t>
      </w:r>
    </w:p>
    <w:p w14:paraId="47DEFD5B" w14:textId="77777777" w:rsidR="00A66AD1" w:rsidRPr="00791519" w:rsidRDefault="00A66AD1" w:rsidP="00A66AD1">
      <w:pPr>
        <w:pStyle w:val="AqpText"/>
      </w:pPr>
    </w:p>
    <w:p w14:paraId="50AA6E97" w14:textId="77777777" w:rsidR="00A66AD1" w:rsidRPr="00791519" w:rsidRDefault="00A66AD1" w:rsidP="00A66AD1">
      <w:pPr>
        <w:pStyle w:val="Nadpis1"/>
      </w:pPr>
      <w:bookmarkStart w:id="78" w:name="_Toc62201094"/>
      <w:r w:rsidRPr="00791519">
        <w:t>Celkové náklady stavby</w:t>
      </w:r>
      <w:bookmarkEnd w:id="78"/>
    </w:p>
    <w:p w14:paraId="35616B3A" w14:textId="77777777" w:rsidR="00A66AD1" w:rsidRPr="00791519" w:rsidRDefault="00A66AD1" w:rsidP="00A66AD1">
      <w:pPr>
        <w:pStyle w:val="AqpText"/>
      </w:pPr>
      <w:r w:rsidRPr="00791519">
        <w:t>Tato část je zpracována na základě požadavku investora v sa</w:t>
      </w:r>
      <w:r w:rsidR="0072145A" w:rsidRPr="00791519">
        <w:t>mostatné kapitole – viz. část G</w:t>
      </w:r>
      <w:r w:rsidRPr="00791519">
        <w:t xml:space="preserve"> </w:t>
      </w:r>
      <w:r w:rsidR="0072145A" w:rsidRPr="00791519">
        <w:t>–</w:t>
      </w:r>
      <w:r w:rsidRPr="00791519">
        <w:t xml:space="preserve"> Výkaz výměr a položkový rozpočet.</w:t>
      </w:r>
    </w:p>
    <w:p w14:paraId="52D11ED0" w14:textId="77777777" w:rsidR="00A945E7" w:rsidRPr="00791519" w:rsidRDefault="00A945E7" w:rsidP="00A66AD1">
      <w:pPr>
        <w:pStyle w:val="AqpText"/>
      </w:pPr>
    </w:p>
    <w:p w14:paraId="3B97FF09" w14:textId="77777777" w:rsidR="00A945E7" w:rsidRPr="00791519" w:rsidRDefault="00A945E7" w:rsidP="00A66AD1">
      <w:pPr>
        <w:pStyle w:val="AqpText"/>
      </w:pPr>
    </w:p>
    <w:p w14:paraId="511FBE35" w14:textId="77777777" w:rsidR="00A66AD1" w:rsidRPr="00791519" w:rsidRDefault="00A66AD1" w:rsidP="00A66AD1">
      <w:pPr>
        <w:pStyle w:val="AqpText"/>
      </w:pPr>
    </w:p>
    <w:p w14:paraId="0DA59E94" w14:textId="45FD9BC5" w:rsidR="009A131B" w:rsidRPr="00791519" w:rsidRDefault="00A66AD1" w:rsidP="00A66AD1">
      <w:pPr>
        <w:pStyle w:val="AqpText"/>
      </w:pPr>
      <w:r w:rsidRPr="00791519">
        <w:t xml:space="preserve">V Brně, </w:t>
      </w:r>
      <w:r w:rsidR="00B42011" w:rsidRPr="00791519">
        <w:t>10</w:t>
      </w:r>
      <w:r w:rsidR="002424E4" w:rsidRPr="00791519">
        <w:t>/</w:t>
      </w:r>
      <w:r w:rsidRPr="00791519">
        <w:t>20</w:t>
      </w:r>
      <w:r w:rsidR="002424E4" w:rsidRPr="00791519">
        <w:t>20</w:t>
      </w:r>
      <w:r w:rsidRPr="00791519">
        <w:tab/>
      </w:r>
      <w:r w:rsidRPr="00791519">
        <w:tab/>
      </w:r>
      <w:r w:rsidRPr="00791519">
        <w:tab/>
      </w:r>
      <w:r w:rsidR="0072145A" w:rsidRPr="00791519">
        <w:tab/>
      </w:r>
      <w:r w:rsidRPr="00791519">
        <w:tab/>
      </w:r>
      <w:r w:rsidRPr="00791519">
        <w:tab/>
      </w:r>
      <w:r w:rsidRPr="00791519">
        <w:tab/>
      </w:r>
      <w:r w:rsidRPr="00791519">
        <w:tab/>
      </w:r>
      <w:r w:rsidRPr="00791519">
        <w:tab/>
      </w:r>
      <w:r w:rsidR="0072145A" w:rsidRPr="00791519">
        <w:t>Bc</w:t>
      </w:r>
      <w:r w:rsidRPr="00791519">
        <w:t xml:space="preserve">. </w:t>
      </w:r>
      <w:r w:rsidR="0072145A" w:rsidRPr="00791519">
        <w:t>Štěpán Vlach</w:t>
      </w:r>
    </w:p>
    <w:sectPr w:rsidR="009A131B" w:rsidRPr="00791519" w:rsidSect="00BD6661">
      <w:headerReference w:type="default" r:id="rId9"/>
      <w:footerReference w:type="default" r:id="rId10"/>
      <w:pgSz w:w="11906" w:h="16838" w:code="9"/>
      <w:pgMar w:top="1701" w:right="851" w:bottom="1418" w:left="851" w:header="709" w:footer="709" w:gutter="567"/>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AE8281" w14:textId="77777777" w:rsidR="00B04B88" w:rsidRDefault="00B04B88">
      <w:r>
        <w:separator/>
      </w:r>
    </w:p>
    <w:p w14:paraId="3DD1579E" w14:textId="77777777" w:rsidR="00B04B88" w:rsidRDefault="00B04B88"/>
  </w:endnote>
  <w:endnote w:type="continuationSeparator" w:id="0">
    <w:p w14:paraId="65225721" w14:textId="77777777" w:rsidR="00B04B88" w:rsidRDefault="00B04B88">
      <w:r>
        <w:continuationSeparator/>
      </w:r>
    </w:p>
    <w:p w14:paraId="717578E2" w14:textId="77777777" w:rsidR="00B04B88" w:rsidRDefault="00B04B8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9C3926" w14:textId="3414DBE4" w:rsidR="0022727E" w:rsidRDefault="0022727E" w:rsidP="00D76E62">
    <w:pPr>
      <w:pStyle w:val="Zpat"/>
      <w:pBdr>
        <w:top w:val="single" w:sz="4" w:space="1" w:color="006699"/>
      </w:pBdr>
      <w:tabs>
        <w:tab w:val="clear" w:pos="8505"/>
        <w:tab w:val="right" w:pos="9639"/>
      </w:tabs>
    </w:pPr>
    <w:r>
      <w:t>STAVEBNÍ ČÁST – KANALIZACE</w:t>
    </w:r>
    <w:r>
      <w:tab/>
    </w:r>
    <w:r>
      <w:fldChar w:fldCharType="begin"/>
    </w:r>
    <w:r>
      <w:instrText xml:space="preserve"> REF Datum_hl \h </w:instrText>
    </w:r>
    <w:r>
      <w:fldChar w:fldCharType="separate"/>
    </w:r>
    <w:r>
      <w:t>01/2021</w:t>
    </w:r>
    <w:r>
      <w:fldChar w:fldCharType="end"/>
    </w:r>
  </w:p>
  <w:p w14:paraId="3B49382D" w14:textId="4B121AA0" w:rsidR="0022727E" w:rsidRDefault="0022727E" w:rsidP="00D54C65">
    <w:pPr>
      <w:pStyle w:val="Zpat"/>
      <w:tabs>
        <w:tab w:val="clear" w:pos="8505"/>
        <w:tab w:val="right" w:pos="9639"/>
      </w:tabs>
    </w:pPr>
    <w:r>
      <w:fldChar w:fldCharType="begin"/>
    </w:r>
    <w:r>
      <w:instrText xml:space="preserve"> REF Stupen \h </w:instrText>
    </w:r>
    <w:r>
      <w:fldChar w:fldCharType="separate"/>
    </w:r>
    <w:r>
      <w:t>DSP,DPS</w:t>
    </w:r>
    <w:r>
      <w:fldChar w:fldCharType="end"/>
    </w:r>
    <w:r>
      <w:tab/>
    </w:r>
    <w:r>
      <w:fldChar w:fldCharType="begin"/>
    </w:r>
    <w:r>
      <w:instrText xml:space="preserve"> PAGE  \* MERGEFORMAT </w:instrText>
    </w:r>
    <w:r>
      <w:fldChar w:fldCharType="separate"/>
    </w:r>
    <w:r>
      <w:rPr>
        <w:noProof/>
      </w:rPr>
      <w:t>20</w:t>
    </w:r>
    <w:r>
      <w:rPr>
        <w:noProof/>
      </w:rPr>
      <w:fldChar w:fldCharType="end"/>
    </w:r>
    <w:r>
      <w:t xml:space="preserve"> / </w:t>
    </w:r>
    <w:fldSimple w:instr=" NUMPAGES  \* MERGEFORMAT ">
      <w:r>
        <w:rPr>
          <w:noProof/>
        </w:rPr>
        <w:t>24</w:t>
      </w:r>
    </w:fldSimple>
  </w:p>
  <w:p w14:paraId="02FCFA3B" w14:textId="77777777" w:rsidR="0022727E" w:rsidRDefault="0022727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CA5797" w14:textId="77777777" w:rsidR="00B04B88" w:rsidRDefault="00B04B88">
      <w:r>
        <w:separator/>
      </w:r>
    </w:p>
    <w:p w14:paraId="128F1DF1" w14:textId="77777777" w:rsidR="00B04B88" w:rsidRDefault="00B04B88"/>
  </w:footnote>
  <w:footnote w:type="continuationSeparator" w:id="0">
    <w:p w14:paraId="17407F9B" w14:textId="77777777" w:rsidR="00B04B88" w:rsidRDefault="00B04B88">
      <w:r>
        <w:continuationSeparator/>
      </w:r>
    </w:p>
    <w:p w14:paraId="206C2E62" w14:textId="77777777" w:rsidR="00B04B88" w:rsidRDefault="00B04B8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2" w:type="dxa"/>
      <w:tblLook w:val="01E0" w:firstRow="1" w:lastRow="1" w:firstColumn="1" w:lastColumn="1" w:noHBand="0" w:noVBand="0"/>
    </w:tblPr>
    <w:tblGrid>
      <w:gridCol w:w="6930"/>
      <w:gridCol w:w="2638"/>
    </w:tblGrid>
    <w:tr w:rsidR="0022727E" w14:paraId="114FDB71" w14:textId="77777777">
      <w:tc>
        <w:tcPr>
          <w:tcW w:w="7128" w:type="dxa"/>
          <w:tcBorders>
            <w:bottom w:val="single" w:sz="4" w:space="0" w:color="006699"/>
          </w:tcBorders>
          <w:vAlign w:val="center"/>
        </w:tcPr>
        <w:p w14:paraId="040D973D" w14:textId="3F25C544" w:rsidR="0022727E" w:rsidRDefault="0022727E" w:rsidP="001E6170">
          <w:pPr>
            <w:pStyle w:val="Zhlav"/>
          </w:pPr>
          <w:r>
            <w:t>BRNO, GAJDOŠOVA, OBSLUŽNÁ KOMUNIKACE – REKONSTRUKCE KANALIZACE A VODOVODU</w:t>
          </w:r>
        </w:p>
      </w:tc>
      <w:tc>
        <w:tcPr>
          <w:tcW w:w="2649" w:type="dxa"/>
        </w:tcPr>
        <w:p w14:paraId="186FBA6E" w14:textId="77777777" w:rsidR="0022727E" w:rsidRDefault="0022727E" w:rsidP="0057276A">
          <w:pPr>
            <w:pStyle w:val="Zhlav"/>
            <w:jc w:val="right"/>
          </w:pPr>
          <w:r>
            <w:rPr>
              <w:noProof/>
            </w:rPr>
            <w:drawing>
              <wp:inline distT="0" distB="0" distL="0" distR="0" wp14:anchorId="72457EB5" wp14:editId="6F1AE9A0">
                <wp:extent cx="1352550" cy="361950"/>
                <wp:effectExtent l="0" t="0" r="0" b="0"/>
                <wp:docPr id="2" name="obrázek 3" descr="AQP_logo_emf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AQP_logo_emf_smal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2550" cy="361950"/>
                        </a:xfrm>
                        <a:prstGeom prst="rect">
                          <a:avLst/>
                        </a:prstGeom>
                        <a:noFill/>
                        <a:ln>
                          <a:noFill/>
                        </a:ln>
                      </pic:spPr>
                    </pic:pic>
                  </a:graphicData>
                </a:graphic>
              </wp:inline>
            </w:drawing>
          </w:r>
        </w:p>
      </w:tc>
    </w:tr>
  </w:tbl>
  <w:p w14:paraId="3FA22A7C" w14:textId="47B0F5F8" w:rsidR="0022727E" w:rsidRDefault="0022727E" w:rsidP="00F17F4E">
    <w:pPr>
      <w:pStyle w:val="Zhlav"/>
      <w:rPr>
        <w:sz w:val="12"/>
        <w:szCs w:val="12"/>
      </w:rPr>
    </w:pPr>
    <w:r>
      <w:rPr>
        <w:sz w:val="12"/>
        <w:szCs w:val="12"/>
      </w:rPr>
      <w:t xml:space="preserve">Zakázkové číslo: </w:t>
    </w:r>
    <w:r>
      <w:fldChar w:fldCharType="begin"/>
    </w:r>
    <w:r>
      <w:instrText xml:space="preserve"> REF Zak_cislo \h  \* MERGEFORMAT </w:instrText>
    </w:r>
    <w:r>
      <w:fldChar w:fldCharType="separate"/>
    </w:r>
    <w:r w:rsidRPr="00376771">
      <w:rPr>
        <w:sz w:val="12"/>
        <w:szCs w:val="12"/>
      </w:rPr>
      <w:t>153</w:t>
    </w:r>
    <w:r>
      <w:rPr>
        <w:sz w:val="12"/>
        <w:szCs w:val="12"/>
      </w:rPr>
      <w:t>38</w:t>
    </w:r>
    <w:r w:rsidRPr="00376771">
      <w:rPr>
        <w:sz w:val="12"/>
        <w:szCs w:val="12"/>
      </w:rPr>
      <w:t>19-16</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0"/>
    <w:multiLevelType w:val="singleLevel"/>
    <w:tmpl w:val="02D620A4"/>
    <w:lvl w:ilvl="0">
      <w:start w:val="1"/>
      <w:numFmt w:val="bullet"/>
      <w:pStyle w:val="Seznamsodrkami5"/>
      <w:lvlText w:val=""/>
      <w:lvlJc w:val="left"/>
      <w:pPr>
        <w:tabs>
          <w:tab w:val="num" w:pos="1492"/>
        </w:tabs>
        <w:ind w:left="1492" w:hanging="360"/>
      </w:pPr>
      <w:rPr>
        <w:rFonts w:ascii="Symbol" w:hAnsi="Symbol" w:cs="Symbol" w:hint="default"/>
      </w:rPr>
    </w:lvl>
  </w:abstractNum>
  <w:abstractNum w:abstractNumId="1" w15:restartNumberingAfterBreak="0">
    <w:nsid w:val="FFFFFF81"/>
    <w:multiLevelType w:val="singleLevel"/>
    <w:tmpl w:val="7D18A640"/>
    <w:lvl w:ilvl="0">
      <w:start w:val="1"/>
      <w:numFmt w:val="bullet"/>
      <w:pStyle w:val="Seznamsodrkami4"/>
      <w:lvlText w:val=""/>
      <w:lvlJc w:val="left"/>
      <w:pPr>
        <w:tabs>
          <w:tab w:val="num" w:pos="1209"/>
        </w:tabs>
        <w:ind w:left="1209" w:hanging="360"/>
      </w:pPr>
      <w:rPr>
        <w:rFonts w:ascii="Symbol" w:hAnsi="Symbol" w:cs="Symbol" w:hint="default"/>
      </w:rPr>
    </w:lvl>
  </w:abstractNum>
  <w:abstractNum w:abstractNumId="2" w15:restartNumberingAfterBreak="0">
    <w:nsid w:val="FFFFFF82"/>
    <w:multiLevelType w:val="singleLevel"/>
    <w:tmpl w:val="B600B352"/>
    <w:lvl w:ilvl="0">
      <w:start w:val="1"/>
      <w:numFmt w:val="bullet"/>
      <w:pStyle w:val="Seznamsodrkami3"/>
      <w:lvlText w:val=""/>
      <w:lvlJc w:val="left"/>
      <w:pPr>
        <w:tabs>
          <w:tab w:val="num" w:pos="926"/>
        </w:tabs>
        <w:ind w:left="926" w:hanging="360"/>
      </w:pPr>
      <w:rPr>
        <w:rFonts w:ascii="Symbol" w:hAnsi="Symbol" w:cs="Symbol" w:hint="default"/>
      </w:rPr>
    </w:lvl>
  </w:abstractNum>
  <w:abstractNum w:abstractNumId="3" w15:restartNumberingAfterBreak="0">
    <w:nsid w:val="FFFFFF83"/>
    <w:multiLevelType w:val="singleLevel"/>
    <w:tmpl w:val="2D0A4A24"/>
    <w:lvl w:ilvl="0">
      <w:start w:val="1"/>
      <w:numFmt w:val="bullet"/>
      <w:pStyle w:val="Seznamsodrkami2"/>
      <w:lvlText w:val=""/>
      <w:lvlJc w:val="left"/>
      <w:pPr>
        <w:tabs>
          <w:tab w:val="num" w:pos="643"/>
        </w:tabs>
        <w:ind w:left="643" w:hanging="360"/>
      </w:pPr>
      <w:rPr>
        <w:rFonts w:ascii="Symbol" w:hAnsi="Symbol" w:cs="Symbol" w:hint="default"/>
      </w:rPr>
    </w:lvl>
  </w:abstractNum>
  <w:abstractNum w:abstractNumId="4" w15:restartNumberingAfterBreak="0">
    <w:nsid w:val="FFFFFF89"/>
    <w:multiLevelType w:val="singleLevel"/>
    <w:tmpl w:val="26AE5E3E"/>
    <w:lvl w:ilvl="0">
      <w:start w:val="1"/>
      <w:numFmt w:val="bullet"/>
      <w:pStyle w:val="Seznamsodrkami"/>
      <w:lvlText w:val=""/>
      <w:lvlJc w:val="left"/>
      <w:pPr>
        <w:tabs>
          <w:tab w:val="num" w:pos="360"/>
        </w:tabs>
        <w:ind w:left="360" w:hanging="360"/>
      </w:pPr>
      <w:rPr>
        <w:rFonts w:ascii="Symbol" w:hAnsi="Symbol" w:cs="Symbol" w:hint="default"/>
      </w:rPr>
    </w:lvl>
  </w:abstractNum>
  <w:abstractNum w:abstractNumId="5" w15:restartNumberingAfterBreak="0">
    <w:nsid w:val="0169567A"/>
    <w:multiLevelType w:val="hybridMultilevel"/>
    <w:tmpl w:val="A8B6D9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37F5D48"/>
    <w:multiLevelType w:val="hybridMultilevel"/>
    <w:tmpl w:val="D6A4E93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87A4F8E"/>
    <w:multiLevelType w:val="hybridMultilevel"/>
    <w:tmpl w:val="694C10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2A626BC"/>
    <w:multiLevelType w:val="hybridMultilevel"/>
    <w:tmpl w:val="79FAEA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50F13E0"/>
    <w:multiLevelType w:val="multilevel"/>
    <w:tmpl w:val="DA8E37BE"/>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0" w15:restartNumberingAfterBreak="0">
    <w:nsid w:val="16254CB9"/>
    <w:multiLevelType w:val="hybridMultilevel"/>
    <w:tmpl w:val="D73E22A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8FA75E9"/>
    <w:multiLevelType w:val="hybridMultilevel"/>
    <w:tmpl w:val="66FEB26C"/>
    <w:lvl w:ilvl="0" w:tplc="8E28199C">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C604808"/>
    <w:multiLevelType w:val="hybridMultilevel"/>
    <w:tmpl w:val="54BC220C"/>
    <w:lvl w:ilvl="0" w:tplc="53A2DAFA">
      <w:start w:val="4"/>
      <w:numFmt w:val="bullet"/>
      <w:lvlText w:val=""/>
      <w:lvlJc w:val="left"/>
      <w:pPr>
        <w:ind w:left="720" w:hanging="360"/>
      </w:pPr>
      <w:rPr>
        <w:rFonts w:ascii="Wingdings" w:eastAsia="Times New Roman" w:hAnsi="Wingdings"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E7239AC"/>
    <w:multiLevelType w:val="hybridMultilevel"/>
    <w:tmpl w:val="90CA0C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423166B"/>
    <w:multiLevelType w:val="hybridMultilevel"/>
    <w:tmpl w:val="6D503620"/>
    <w:lvl w:ilvl="0" w:tplc="04050001">
      <w:start w:val="1"/>
      <w:numFmt w:val="bullet"/>
      <w:lvlText w:val=""/>
      <w:lvlJc w:val="left"/>
      <w:pPr>
        <w:ind w:left="720" w:hanging="360"/>
      </w:pPr>
      <w:rPr>
        <w:rFonts w:ascii="Symbol" w:hAnsi="Symbol" w:hint="default"/>
      </w:rPr>
    </w:lvl>
    <w:lvl w:ilvl="1" w:tplc="28048E94">
      <w:numFmt w:val="bullet"/>
      <w:lvlText w:val="-"/>
      <w:lvlJc w:val="left"/>
      <w:pPr>
        <w:ind w:left="1785" w:hanging="705"/>
      </w:pPr>
      <w:rPr>
        <w:rFonts w:ascii="Arial Narrow" w:eastAsia="Times New Roman" w:hAnsi="Arial Narrow"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6472182"/>
    <w:multiLevelType w:val="hybridMultilevel"/>
    <w:tmpl w:val="A9DCF4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6653CAB"/>
    <w:multiLevelType w:val="hybridMultilevel"/>
    <w:tmpl w:val="60C28BB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8242D27"/>
    <w:multiLevelType w:val="hybridMultilevel"/>
    <w:tmpl w:val="E3C240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2B023440"/>
    <w:multiLevelType w:val="hybridMultilevel"/>
    <w:tmpl w:val="47B8B5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2E1A5BDD"/>
    <w:multiLevelType w:val="hybridMultilevel"/>
    <w:tmpl w:val="552E2C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0921271"/>
    <w:multiLevelType w:val="hybridMultilevel"/>
    <w:tmpl w:val="5680DB40"/>
    <w:lvl w:ilvl="0" w:tplc="B21C5D98">
      <w:numFmt w:val="bullet"/>
      <w:pStyle w:val="Aqpodrka1"/>
      <w:lvlText w:val="-"/>
      <w:lvlJc w:val="left"/>
      <w:pPr>
        <w:tabs>
          <w:tab w:val="num" w:pos="720"/>
        </w:tabs>
        <w:ind w:left="720" w:hanging="360"/>
      </w:pPr>
      <w:rPr>
        <w:rFonts w:ascii="Arial" w:eastAsia="Times New Roman" w:hAnsi="Arial" w:hint="default"/>
      </w:rPr>
    </w:lvl>
    <w:lvl w:ilvl="1" w:tplc="277621C0">
      <w:start w:val="1"/>
      <w:numFmt w:val="bullet"/>
      <w:lvlText w:val="o"/>
      <w:lvlJc w:val="left"/>
      <w:pPr>
        <w:tabs>
          <w:tab w:val="num" w:pos="1440"/>
        </w:tabs>
        <w:ind w:left="1440" w:hanging="360"/>
      </w:pPr>
      <w:rPr>
        <w:rFonts w:ascii="Courier New" w:hAnsi="Courier New" w:cs="Courier New" w:hint="default"/>
      </w:rPr>
    </w:lvl>
    <w:lvl w:ilvl="2" w:tplc="1A6273F2">
      <w:start w:val="1"/>
      <w:numFmt w:val="bullet"/>
      <w:lvlText w:val=""/>
      <w:lvlJc w:val="left"/>
      <w:pPr>
        <w:tabs>
          <w:tab w:val="num" w:pos="2160"/>
        </w:tabs>
        <w:ind w:left="2160" w:hanging="360"/>
      </w:pPr>
      <w:rPr>
        <w:rFonts w:ascii="Wingdings" w:hAnsi="Wingdings" w:cs="Wingdings" w:hint="default"/>
      </w:rPr>
    </w:lvl>
    <w:lvl w:ilvl="3" w:tplc="8E28199C">
      <w:start w:val="1"/>
      <w:numFmt w:val="bullet"/>
      <w:lvlText w:val=""/>
      <w:lvlJc w:val="left"/>
      <w:pPr>
        <w:tabs>
          <w:tab w:val="num" w:pos="2880"/>
        </w:tabs>
        <w:ind w:left="2880" w:hanging="360"/>
      </w:pPr>
      <w:rPr>
        <w:rFonts w:ascii="Symbol" w:hAnsi="Symbol" w:cs="Symbol" w:hint="default"/>
      </w:rPr>
    </w:lvl>
    <w:lvl w:ilvl="4" w:tplc="B4186998">
      <w:start w:val="1"/>
      <w:numFmt w:val="bullet"/>
      <w:lvlText w:val="o"/>
      <w:lvlJc w:val="left"/>
      <w:pPr>
        <w:tabs>
          <w:tab w:val="num" w:pos="3600"/>
        </w:tabs>
        <w:ind w:left="3600" w:hanging="360"/>
      </w:pPr>
      <w:rPr>
        <w:rFonts w:ascii="Courier New" w:hAnsi="Courier New" w:cs="Courier New" w:hint="default"/>
      </w:rPr>
    </w:lvl>
    <w:lvl w:ilvl="5" w:tplc="57B05DDA">
      <w:start w:val="1"/>
      <w:numFmt w:val="bullet"/>
      <w:lvlText w:val=""/>
      <w:lvlJc w:val="left"/>
      <w:pPr>
        <w:tabs>
          <w:tab w:val="num" w:pos="4320"/>
        </w:tabs>
        <w:ind w:left="4320" w:hanging="360"/>
      </w:pPr>
      <w:rPr>
        <w:rFonts w:ascii="Wingdings" w:hAnsi="Wingdings" w:cs="Wingdings" w:hint="default"/>
      </w:rPr>
    </w:lvl>
    <w:lvl w:ilvl="6" w:tplc="D6D8ACD4">
      <w:start w:val="1"/>
      <w:numFmt w:val="bullet"/>
      <w:lvlText w:val=""/>
      <w:lvlJc w:val="left"/>
      <w:pPr>
        <w:tabs>
          <w:tab w:val="num" w:pos="5040"/>
        </w:tabs>
        <w:ind w:left="5040" w:hanging="360"/>
      </w:pPr>
      <w:rPr>
        <w:rFonts w:ascii="Symbol" w:hAnsi="Symbol" w:cs="Symbol" w:hint="default"/>
      </w:rPr>
    </w:lvl>
    <w:lvl w:ilvl="7" w:tplc="C08AFD70">
      <w:start w:val="1"/>
      <w:numFmt w:val="bullet"/>
      <w:lvlText w:val="o"/>
      <w:lvlJc w:val="left"/>
      <w:pPr>
        <w:tabs>
          <w:tab w:val="num" w:pos="5760"/>
        </w:tabs>
        <w:ind w:left="5760" w:hanging="360"/>
      </w:pPr>
      <w:rPr>
        <w:rFonts w:ascii="Courier New" w:hAnsi="Courier New" w:cs="Courier New" w:hint="default"/>
      </w:rPr>
    </w:lvl>
    <w:lvl w:ilvl="8" w:tplc="440296A0">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317F1255"/>
    <w:multiLevelType w:val="hybridMultilevel"/>
    <w:tmpl w:val="268E92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978665B"/>
    <w:multiLevelType w:val="hybridMultilevel"/>
    <w:tmpl w:val="002E3A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A395EF9"/>
    <w:multiLevelType w:val="multilevel"/>
    <w:tmpl w:val="206AE238"/>
    <w:styleLink w:val="StylVcerovov14bTunVlastnbarvaRGB0"/>
    <w:lvl w:ilvl="0">
      <w:start w:val="1"/>
      <w:numFmt w:val="decimal"/>
      <w:lvlText w:val="%1"/>
      <w:lvlJc w:val="left"/>
      <w:pPr>
        <w:tabs>
          <w:tab w:val="num" w:pos="360"/>
        </w:tabs>
      </w:pPr>
      <w:rPr>
        <w:rFonts w:hint="default"/>
      </w:rPr>
    </w:lvl>
    <w:lvl w:ilvl="1">
      <w:start w:val="1"/>
      <w:numFmt w:val="decimal"/>
      <w:lvlText w:val="%1.%2"/>
      <w:lvlJc w:val="left"/>
      <w:pPr>
        <w:tabs>
          <w:tab w:val="num" w:pos="1287"/>
        </w:tabs>
        <w:ind w:left="567"/>
      </w:pPr>
      <w:rPr>
        <w:rFonts w:hint="default"/>
        <w:b/>
        <w:bCs/>
        <w:color w:val="006699"/>
        <w:kern w:val="32"/>
        <w:sz w:val="28"/>
        <w:szCs w:val="28"/>
      </w:rPr>
    </w:lvl>
    <w:lvl w:ilvl="2">
      <w:start w:val="1"/>
      <w:numFmt w:val="decimal"/>
      <w:lvlText w:val="%1.%2.%3"/>
      <w:lvlJc w:val="left"/>
      <w:pPr>
        <w:tabs>
          <w:tab w:val="num" w:pos="720"/>
        </w:tabs>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3BDB1044"/>
    <w:multiLevelType w:val="hybridMultilevel"/>
    <w:tmpl w:val="712053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3D065BE9"/>
    <w:multiLevelType w:val="hybridMultilevel"/>
    <w:tmpl w:val="8FC6298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48C56FF3"/>
    <w:multiLevelType w:val="hybridMultilevel"/>
    <w:tmpl w:val="FC12FA7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B6C460A"/>
    <w:multiLevelType w:val="hybridMultilevel"/>
    <w:tmpl w:val="7046AC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27F17C3"/>
    <w:multiLevelType w:val="hybridMultilevel"/>
    <w:tmpl w:val="1004CE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29A2638"/>
    <w:multiLevelType w:val="hybridMultilevel"/>
    <w:tmpl w:val="CE6CC43C"/>
    <w:lvl w:ilvl="0" w:tplc="7F8C7E6E">
      <w:numFmt w:val="bullet"/>
      <w:lvlText w:val="-"/>
      <w:lvlJc w:val="left"/>
      <w:pPr>
        <w:ind w:left="720" w:hanging="360"/>
      </w:pPr>
      <w:rPr>
        <w:rFonts w:ascii="Arial Narrow" w:eastAsia="Times New Roman" w:hAnsi="Arial Narrow"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56C47812"/>
    <w:multiLevelType w:val="hybridMultilevel"/>
    <w:tmpl w:val="5EF65C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5C480310"/>
    <w:multiLevelType w:val="hybridMultilevel"/>
    <w:tmpl w:val="72E07C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5D61249B"/>
    <w:multiLevelType w:val="hybridMultilevel"/>
    <w:tmpl w:val="F294B3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209420F"/>
    <w:multiLevelType w:val="hybridMultilevel"/>
    <w:tmpl w:val="A4A0150C"/>
    <w:lvl w:ilvl="0" w:tplc="FFFFFFFF">
      <w:start w:val="1"/>
      <w:numFmt w:val="decimal"/>
      <w:pStyle w:val="Aqpslovn"/>
      <w:lvlText w:val="%1."/>
      <w:lvlJc w:val="left"/>
      <w:pPr>
        <w:tabs>
          <w:tab w:val="num" w:pos="720"/>
        </w:tabs>
        <w:ind w:left="720" w:hanging="360"/>
      </w:pPr>
      <w:rPr>
        <w:rFonts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34" w15:restartNumberingAfterBreak="0">
    <w:nsid w:val="64747371"/>
    <w:multiLevelType w:val="hybridMultilevel"/>
    <w:tmpl w:val="EC0662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0C86C0F"/>
    <w:multiLevelType w:val="hybridMultilevel"/>
    <w:tmpl w:val="98B859C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10C2A73"/>
    <w:multiLevelType w:val="hybridMultilevel"/>
    <w:tmpl w:val="CF94F6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1AA6910"/>
    <w:multiLevelType w:val="hybridMultilevel"/>
    <w:tmpl w:val="C54A64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3E910ED"/>
    <w:multiLevelType w:val="hybridMultilevel"/>
    <w:tmpl w:val="A9048C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7CE6469"/>
    <w:multiLevelType w:val="hybridMultilevel"/>
    <w:tmpl w:val="9EDE4C0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C843846"/>
    <w:multiLevelType w:val="hybridMultilevel"/>
    <w:tmpl w:val="4A6A20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DD52CB5"/>
    <w:multiLevelType w:val="hybridMultilevel"/>
    <w:tmpl w:val="BDE802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 w:numId="6">
    <w:abstractNumId w:val="20"/>
  </w:num>
  <w:num w:numId="7">
    <w:abstractNumId w:val="33"/>
  </w:num>
  <w:num w:numId="8">
    <w:abstractNumId w:val="23"/>
  </w:num>
  <w:num w:numId="9">
    <w:abstractNumId w:val="9"/>
  </w:num>
  <w:num w:numId="10">
    <w:abstractNumId w:val="29"/>
  </w:num>
  <w:num w:numId="11">
    <w:abstractNumId w:val="19"/>
  </w:num>
  <w:num w:numId="12">
    <w:abstractNumId w:val="10"/>
  </w:num>
  <w:num w:numId="13">
    <w:abstractNumId w:val="28"/>
  </w:num>
  <w:num w:numId="14">
    <w:abstractNumId w:val="16"/>
  </w:num>
  <w:num w:numId="15">
    <w:abstractNumId w:val="11"/>
  </w:num>
  <w:num w:numId="16">
    <w:abstractNumId w:val="12"/>
  </w:num>
  <w:num w:numId="17">
    <w:abstractNumId w:val="6"/>
  </w:num>
  <w:num w:numId="18">
    <w:abstractNumId w:val="13"/>
  </w:num>
  <w:num w:numId="19">
    <w:abstractNumId w:val="25"/>
  </w:num>
  <w:num w:numId="20">
    <w:abstractNumId w:val="26"/>
  </w:num>
  <w:num w:numId="21">
    <w:abstractNumId w:val="15"/>
  </w:num>
  <w:num w:numId="22">
    <w:abstractNumId w:val="7"/>
  </w:num>
  <w:num w:numId="23">
    <w:abstractNumId w:val="30"/>
  </w:num>
  <w:num w:numId="24">
    <w:abstractNumId w:val="5"/>
  </w:num>
  <w:num w:numId="25">
    <w:abstractNumId w:val="17"/>
  </w:num>
  <w:num w:numId="26">
    <w:abstractNumId w:val="32"/>
  </w:num>
  <w:num w:numId="27">
    <w:abstractNumId w:val="38"/>
  </w:num>
  <w:num w:numId="28">
    <w:abstractNumId w:val="22"/>
  </w:num>
  <w:num w:numId="29">
    <w:abstractNumId w:val="35"/>
  </w:num>
  <w:num w:numId="30">
    <w:abstractNumId w:val="21"/>
  </w:num>
  <w:num w:numId="31">
    <w:abstractNumId w:val="37"/>
  </w:num>
  <w:num w:numId="32">
    <w:abstractNumId w:val="41"/>
  </w:num>
  <w:num w:numId="33">
    <w:abstractNumId w:val="34"/>
  </w:num>
  <w:num w:numId="34">
    <w:abstractNumId w:val="31"/>
  </w:num>
  <w:num w:numId="35">
    <w:abstractNumId w:val="27"/>
  </w:num>
  <w:num w:numId="36">
    <w:abstractNumId w:val="24"/>
  </w:num>
  <w:num w:numId="37">
    <w:abstractNumId w:val="14"/>
  </w:num>
  <w:num w:numId="38">
    <w:abstractNumId w:val="39"/>
  </w:num>
  <w:num w:numId="39">
    <w:abstractNumId w:val="36"/>
  </w:num>
  <w:num w:numId="40">
    <w:abstractNumId w:val="18"/>
  </w:num>
  <w:num w:numId="41">
    <w:abstractNumId w:val="8"/>
  </w:num>
  <w:num w:numId="42">
    <w:abstractNumId w:val="4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documentProtection w:edit="forms" w:formatting="1" w:enforcement="0"/>
  <w:defaultTabStop w:val="709"/>
  <w:hyphenationZone w:val="425"/>
  <w:doNotHyphenateCaps/>
  <w:doNotShadeFormData/>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00A5E"/>
    <w:rsid w:val="00000558"/>
    <w:rsid w:val="000013B1"/>
    <w:rsid w:val="000014C5"/>
    <w:rsid w:val="0000192E"/>
    <w:rsid w:val="00001E60"/>
    <w:rsid w:val="000020FB"/>
    <w:rsid w:val="000039D3"/>
    <w:rsid w:val="00003F70"/>
    <w:rsid w:val="00005A74"/>
    <w:rsid w:val="000079A4"/>
    <w:rsid w:val="00007F12"/>
    <w:rsid w:val="0001195A"/>
    <w:rsid w:val="00011B46"/>
    <w:rsid w:val="0001242F"/>
    <w:rsid w:val="00015E17"/>
    <w:rsid w:val="00016EA5"/>
    <w:rsid w:val="00020214"/>
    <w:rsid w:val="00021A4A"/>
    <w:rsid w:val="000229B8"/>
    <w:rsid w:val="00024E18"/>
    <w:rsid w:val="00026944"/>
    <w:rsid w:val="00030281"/>
    <w:rsid w:val="000351B1"/>
    <w:rsid w:val="00050FA2"/>
    <w:rsid w:val="00051582"/>
    <w:rsid w:val="000529BD"/>
    <w:rsid w:val="0005305E"/>
    <w:rsid w:val="00054101"/>
    <w:rsid w:val="00060F30"/>
    <w:rsid w:val="0006587E"/>
    <w:rsid w:val="00065B6B"/>
    <w:rsid w:val="00065D39"/>
    <w:rsid w:val="000663DC"/>
    <w:rsid w:val="00066A25"/>
    <w:rsid w:val="00067044"/>
    <w:rsid w:val="000712AD"/>
    <w:rsid w:val="00077C09"/>
    <w:rsid w:val="00080147"/>
    <w:rsid w:val="00080989"/>
    <w:rsid w:val="00081666"/>
    <w:rsid w:val="000835A5"/>
    <w:rsid w:val="00085781"/>
    <w:rsid w:val="000873B9"/>
    <w:rsid w:val="00090EDD"/>
    <w:rsid w:val="00091D0F"/>
    <w:rsid w:val="00091F06"/>
    <w:rsid w:val="0009372F"/>
    <w:rsid w:val="00095081"/>
    <w:rsid w:val="0009747A"/>
    <w:rsid w:val="000A4381"/>
    <w:rsid w:val="000B16DD"/>
    <w:rsid w:val="000B2FC4"/>
    <w:rsid w:val="000B390E"/>
    <w:rsid w:val="000B4E6A"/>
    <w:rsid w:val="000B5998"/>
    <w:rsid w:val="000C0476"/>
    <w:rsid w:val="000C39AD"/>
    <w:rsid w:val="000C4B02"/>
    <w:rsid w:val="000C57A5"/>
    <w:rsid w:val="000C7546"/>
    <w:rsid w:val="000C7DA5"/>
    <w:rsid w:val="000D1FFA"/>
    <w:rsid w:val="000D2562"/>
    <w:rsid w:val="000D37B4"/>
    <w:rsid w:val="000D7216"/>
    <w:rsid w:val="000E0EB7"/>
    <w:rsid w:val="000E5A37"/>
    <w:rsid w:val="000E6434"/>
    <w:rsid w:val="000F01A1"/>
    <w:rsid w:val="000F14C5"/>
    <w:rsid w:val="000F577D"/>
    <w:rsid w:val="000F5A64"/>
    <w:rsid w:val="00100504"/>
    <w:rsid w:val="0010179C"/>
    <w:rsid w:val="001111BB"/>
    <w:rsid w:val="0011143A"/>
    <w:rsid w:val="00112A43"/>
    <w:rsid w:val="00112AEE"/>
    <w:rsid w:val="00115D90"/>
    <w:rsid w:val="00122389"/>
    <w:rsid w:val="001278E8"/>
    <w:rsid w:val="001337A7"/>
    <w:rsid w:val="00137409"/>
    <w:rsid w:val="00141B00"/>
    <w:rsid w:val="00143079"/>
    <w:rsid w:val="00147D93"/>
    <w:rsid w:val="00154A07"/>
    <w:rsid w:val="00155365"/>
    <w:rsid w:val="0015599C"/>
    <w:rsid w:val="00157477"/>
    <w:rsid w:val="00160A74"/>
    <w:rsid w:val="00160D40"/>
    <w:rsid w:val="00162547"/>
    <w:rsid w:val="00162F04"/>
    <w:rsid w:val="001635CD"/>
    <w:rsid w:val="00167614"/>
    <w:rsid w:val="00167FE5"/>
    <w:rsid w:val="00172639"/>
    <w:rsid w:val="00174698"/>
    <w:rsid w:val="0018005B"/>
    <w:rsid w:val="00180DF8"/>
    <w:rsid w:val="00183FCD"/>
    <w:rsid w:val="00184206"/>
    <w:rsid w:val="00184612"/>
    <w:rsid w:val="00184BD3"/>
    <w:rsid w:val="00186B39"/>
    <w:rsid w:val="001916A2"/>
    <w:rsid w:val="00193362"/>
    <w:rsid w:val="0019659D"/>
    <w:rsid w:val="00196F91"/>
    <w:rsid w:val="001A44B6"/>
    <w:rsid w:val="001A51CC"/>
    <w:rsid w:val="001A663C"/>
    <w:rsid w:val="001A7421"/>
    <w:rsid w:val="001B27E1"/>
    <w:rsid w:val="001B3719"/>
    <w:rsid w:val="001B4F9D"/>
    <w:rsid w:val="001B6086"/>
    <w:rsid w:val="001C37C7"/>
    <w:rsid w:val="001C43B8"/>
    <w:rsid w:val="001C54D5"/>
    <w:rsid w:val="001C5F6F"/>
    <w:rsid w:val="001C66CD"/>
    <w:rsid w:val="001D1D39"/>
    <w:rsid w:val="001D369C"/>
    <w:rsid w:val="001D6D6A"/>
    <w:rsid w:val="001E3125"/>
    <w:rsid w:val="001E51FF"/>
    <w:rsid w:val="001E522B"/>
    <w:rsid w:val="001E57D1"/>
    <w:rsid w:val="001E6170"/>
    <w:rsid w:val="001E6571"/>
    <w:rsid w:val="001E6C0F"/>
    <w:rsid w:val="001F190E"/>
    <w:rsid w:val="001F2D81"/>
    <w:rsid w:val="001F6CB5"/>
    <w:rsid w:val="00203CFA"/>
    <w:rsid w:val="002103B1"/>
    <w:rsid w:val="0021148F"/>
    <w:rsid w:val="0021210C"/>
    <w:rsid w:val="00214177"/>
    <w:rsid w:val="002218B0"/>
    <w:rsid w:val="002222E5"/>
    <w:rsid w:val="00225894"/>
    <w:rsid w:val="002264B0"/>
    <w:rsid w:val="0022727E"/>
    <w:rsid w:val="002301CB"/>
    <w:rsid w:val="00233931"/>
    <w:rsid w:val="0023485F"/>
    <w:rsid w:val="00234B2E"/>
    <w:rsid w:val="00237128"/>
    <w:rsid w:val="002424E4"/>
    <w:rsid w:val="00245593"/>
    <w:rsid w:val="0024620D"/>
    <w:rsid w:val="0024694C"/>
    <w:rsid w:val="002516CB"/>
    <w:rsid w:val="002524BE"/>
    <w:rsid w:val="00254F5D"/>
    <w:rsid w:val="002625A3"/>
    <w:rsid w:val="00262EC4"/>
    <w:rsid w:val="00267C66"/>
    <w:rsid w:val="002732C5"/>
    <w:rsid w:val="00273C1E"/>
    <w:rsid w:val="002753FD"/>
    <w:rsid w:val="00276B71"/>
    <w:rsid w:val="002804A6"/>
    <w:rsid w:val="00280DBC"/>
    <w:rsid w:val="00282136"/>
    <w:rsid w:val="00282EBB"/>
    <w:rsid w:val="00283074"/>
    <w:rsid w:val="002845C2"/>
    <w:rsid w:val="00292340"/>
    <w:rsid w:val="002924E4"/>
    <w:rsid w:val="00297C92"/>
    <w:rsid w:val="002A1B39"/>
    <w:rsid w:val="002A28CC"/>
    <w:rsid w:val="002A42F0"/>
    <w:rsid w:val="002A50F0"/>
    <w:rsid w:val="002A5F06"/>
    <w:rsid w:val="002B05C6"/>
    <w:rsid w:val="002B3066"/>
    <w:rsid w:val="002B57D4"/>
    <w:rsid w:val="002B66CC"/>
    <w:rsid w:val="002C047F"/>
    <w:rsid w:val="002C19CD"/>
    <w:rsid w:val="002C1D97"/>
    <w:rsid w:val="002C2E54"/>
    <w:rsid w:val="002C2ED5"/>
    <w:rsid w:val="002C4176"/>
    <w:rsid w:val="002C50A0"/>
    <w:rsid w:val="002C5AAC"/>
    <w:rsid w:val="002C5ECE"/>
    <w:rsid w:val="002D0192"/>
    <w:rsid w:val="002D1823"/>
    <w:rsid w:val="002D1B1B"/>
    <w:rsid w:val="002D3053"/>
    <w:rsid w:val="002D4B05"/>
    <w:rsid w:val="002D590E"/>
    <w:rsid w:val="002D6FA2"/>
    <w:rsid w:val="002E6817"/>
    <w:rsid w:val="002F0AA0"/>
    <w:rsid w:val="002F3927"/>
    <w:rsid w:val="002F59FF"/>
    <w:rsid w:val="002F7321"/>
    <w:rsid w:val="003046C9"/>
    <w:rsid w:val="00305507"/>
    <w:rsid w:val="00305ABC"/>
    <w:rsid w:val="00305CD6"/>
    <w:rsid w:val="0030632D"/>
    <w:rsid w:val="00310623"/>
    <w:rsid w:val="00311074"/>
    <w:rsid w:val="00314BE5"/>
    <w:rsid w:val="003153FA"/>
    <w:rsid w:val="003153FC"/>
    <w:rsid w:val="00321BAA"/>
    <w:rsid w:val="00325DDD"/>
    <w:rsid w:val="003264D2"/>
    <w:rsid w:val="0032771D"/>
    <w:rsid w:val="003301C6"/>
    <w:rsid w:val="00333213"/>
    <w:rsid w:val="00335244"/>
    <w:rsid w:val="00335A18"/>
    <w:rsid w:val="00346460"/>
    <w:rsid w:val="00347F90"/>
    <w:rsid w:val="003511B6"/>
    <w:rsid w:val="003515D1"/>
    <w:rsid w:val="003536B5"/>
    <w:rsid w:val="00353EDD"/>
    <w:rsid w:val="00354D65"/>
    <w:rsid w:val="00355421"/>
    <w:rsid w:val="00357D4C"/>
    <w:rsid w:val="00363D01"/>
    <w:rsid w:val="003653D1"/>
    <w:rsid w:val="0036797B"/>
    <w:rsid w:val="00373C0E"/>
    <w:rsid w:val="00373FCC"/>
    <w:rsid w:val="00376225"/>
    <w:rsid w:val="00376771"/>
    <w:rsid w:val="00377BB2"/>
    <w:rsid w:val="00377D3E"/>
    <w:rsid w:val="00377F11"/>
    <w:rsid w:val="00377F94"/>
    <w:rsid w:val="00380B64"/>
    <w:rsid w:val="00381082"/>
    <w:rsid w:val="003842F9"/>
    <w:rsid w:val="00385317"/>
    <w:rsid w:val="00385F51"/>
    <w:rsid w:val="00391C77"/>
    <w:rsid w:val="00396B1C"/>
    <w:rsid w:val="00396EFC"/>
    <w:rsid w:val="00397148"/>
    <w:rsid w:val="003A0706"/>
    <w:rsid w:val="003A261E"/>
    <w:rsid w:val="003A6ECD"/>
    <w:rsid w:val="003A7885"/>
    <w:rsid w:val="003B0F7C"/>
    <w:rsid w:val="003B113F"/>
    <w:rsid w:val="003B7C42"/>
    <w:rsid w:val="003C2521"/>
    <w:rsid w:val="003C5AF6"/>
    <w:rsid w:val="003D05D4"/>
    <w:rsid w:val="003D3D9C"/>
    <w:rsid w:val="003D544A"/>
    <w:rsid w:val="003E11A7"/>
    <w:rsid w:val="003E1725"/>
    <w:rsid w:val="003E177D"/>
    <w:rsid w:val="003E2565"/>
    <w:rsid w:val="003E5AB1"/>
    <w:rsid w:val="003E6433"/>
    <w:rsid w:val="003E70BD"/>
    <w:rsid w:val="003F00E0"/>
    <w:rsid w:val="003F0509"/>
    <w:rsid w:val="003F3E38"/>
    <w:rsid w:val="003F52CE"/>
    <w:rsid w:val="003F6133"/>
    <w:rsid w:val="003F7E17"/>
    <w:rsid w:val="00400A5E"/>
    <w:rsid w:val="00400BD2"/>
    <w:rsid w:val="00402EB6"/>
    <w:rsid w:val="00412D2D"/>
    <w:rsid w:val="0041630C"/>
    <w:rsid w:val="00416E78"/>
    <w:rsid w:val="0041711D"/>
    <w:rsid w:val="00417BBB"/>
    <w:rsid w:val="00420E47"/>
    <w:rsid w:val="004211A6"/>
    <w:rsid w:val="00421535"/>
    <w:rsid w:val="00422916"/>
    <w:rsid w:val="0042381C"/>
    <w:rsid w:val="00423AA0"/>
    <w:rsid w:val="00424CB1"/>
    <w:rsid w:val="00430123"/>
    <w:rsid w:val="00434948"/>
    <w:rsid w:val="0044023A"/>
    <w:rsid w:val="00441A1D"/>
    <w:rsid w:val="00442A7A"/>
    <w:rsid w:val="00445BF8"/>
    <w:rsid w:val="00446203"/>
    <w:rsid w:val="0044763E"/>
    <w:rsid w:val="00452A2C"/>
    <w:rsid w:val="0045596C"/>
    <w:rsid w:val="00455BA1"/>
    <w:rsid w:val="00461028"/>
    <w:rsid w:val="0046155E"/>
    <w:rsid w:val="00465C36"/>
    <w:rsid w:val="0046625A"/>
    <w:rsid w:val="00466B42"/>
    <w:rsid w:val="0047009A"/>
    <w:rsid w:val="0047041F"/>
    <w:rsid w:val="00472AB1"/>
    <w:rsid w:val="0047390E"/>
    <w:rsid w:val="00475C94"/>
    <w:rsid w:val="00477F49"/>
    <w:rsid w:val="00480360"/>
    <w:rsid w:val="00483E04"/>
    <w:rsid w:val="00483FB0"/>
    <w:rsid w:val="004850BD"/>
    <w:rsid w:val="00487286"/>
    <w:rsid w:val="004908B2"/>
    <w:rsid w:val="00490D6A"/>
    <w:rsid w:val="0049404F"/>
    <w:rsid w:val="00496438"/>
    <w:rsid w:val="004978EF"/>
    <w:rsid w:val="004A37AE"/>
    <w:rsid w:val="004B29B8"/>
    <w:rsid w:val="004B5019"/>
    <w:rsid w:val="004C0FEB"/>
    <w:rsid w:val="004C3115"/>
    <w:rsid w:val="004C3BFE"/>
    <w:rsid w:val="004C56AF"/>
    <w:rsid w:val="004D2703"/>
    <w:rsid w:val="004D6099"/>
    <w:rsid w:val="004E5F8D"/>
    <w:rsid w:val="004E7A7F"/>
    <w:rsid w:val="004F1367"/>
    <w:rsid w:val="004F3CF0"/>
    <w:rsid w:val="004F3CFA"/>
    <w:rsid w:val="004F5EBA"/>
    <w:rsid w:val="004F743D"/>
    <w:rsid w:val="00500866"/>
    <w:rsid w:val="00500D71"/>
    <w:rsid w:val="00500F8E"/>
    <w:rsid w:val="00500FB6"/>
    <w:rsid w:val="00502D8F"/>
    <w:rsid w:val="00503B79"/>
    <w:rsid w:val="00504541"/>
    <w:rsid w:val="0052531B"/>
    <w:rsid w:val="0053255F"/>
    <w:rsid w:val="00532E78"/>
    <w:rsid w:val="005331B8"/>
    <w:rsid w:val="0053340E"/>
    <w:rsid w:val="00533C8E"/>
    <w:rsid w:val="00536AAD"/>
    <w:rsid w:val="00536BE1"/>
    <w:rsid w:val="005372B1"/>
    <w:rsid w:val="0053773E"/>
    <w:rsid w:val="005401D9"/>
    <w:rsid w:val="00540AEC"/>
    <w:rsid w:val="00541272"/>
    <w:rsid w:val="00550ABE"/>
    <w:rsid w:val="00551E29"/>
    <w:rsid w:val="00553A09"/>
    <w:rsid w:val="00557A74"/>
    <w:rsid w:val="00557CC3"/>
    <w:rsid w:val="00557EAA"/>
    <w:rsid w:val="0056065C"/>
    <w:rsid w:val="00561C86"/>
    <w:rsid w:val="00566035"/>
    <w:rsid w:val="005676C1"/>
    <w:rsid w:val="005717FB"/>
    <w:rsid w:val="0057276A"/>
    <w:rsid w:val="00573D9C"/>
    <w:rsid w:val="00574180"/>
    <w:rsid w:val="00576657"/>
    <w:rsid w:val="00584052"/>
    <w:rsid w:val="00585AAD"/>
    <w:rsid w:val="00591C57"/>
    <w:rsid w:val="00592EA0"/>
    <w:rsid w:val="00593656"/>
    <w:rsid w:val="00593809"/>
    <w:rsid w:val="00593FBB"/>
    <w:rsid w:val="005963E5"/>
    <w:rsid w:val="005967E8"/>
    <w:rsid w:val="005971B7"/>
    <w:rsid w:val="00597C86"/>
    <w:rsid w:val="005A4033"/>
    <w:rsid w:val="005A5433"/>
    <w:rsid w:val="005B0B44"/>
    <w:rsid w:val="005B148D"/>
    <w:rsid w:val="005B2972"/>
    <w:rsid w:val="005B3E3C"/>
    <w:rsid w:val="005B3F93"/>
    <w:rsid w:val="005B5685"/>
    <w:rsid w:val="005B5B15"/>
    <w:rsid w:val="005B5B56"/>
    <w:rsid w:val="005B5D6B"/>
    <w:rsid w:val="005C033E"/>
    <w:rsid w:val="005C12D4"/>
    <w:rsid w:val="005C2888"/>
    <w:rsid w:val="005C7082"/>
    <w:rsid w:val="005D1225"/>
    <w:rsid w:val="005D3125"/>
    <w:rsid w:val="005D48FF"/>
    <w:rsid w:val="005E1FD8"/>
    <w:rsid w:val="005E3AD0"/>
    <w:rsid w:val="005E52A6"/>
    <w:rsid w:val="005E627D"/>
    <w:rsid w:val="005E63BB"/>
    <w:rsid w:val="005F19FD"/>
    <w:rsid w:val="005F6F59"/>
    <w:rsid w:val="005F7046"/>
    <w:rsid w:val="0060091F"/>
    <w:rsid w:val="00603370"/>
    <w:rsid w:val="00603C2E"/>
    <w:rsid w:val="00604537"/>
    <w:rsid w:val="00605AE4"/>
    <w:rsid w:val="0060685D"/>
    <w:rsid w:val="00612199"/>
    <w:rsid w:val="00612644"/>
    <w:rsid w:val="00613861"/>
    <w:rsid w:val="00613D64"/>
    <w:rsid w:val="006148C7"/>
    <w:rsid w:val="00616FF2"/>
    <w:rsid w:val="00617F5A"/>
    <w:rsid w:val="00620E33"/>
    <w:rsid w:val="006218F6"/>
    <w:rsid w:val="006246E7"/>
    <w:rsid w:val="00626BD8"/>
    <w:rsid w:val="00633FC3"/>
    <w:rsid w:val="00634B3F"/>
    <w:rsid w:val="00646BBF"/>
    <w:rsid w:val="00653807"/>
    <w:rsid w:val="00663CD8"/>
    <w:rsid w:val="00664605"/>
    <w:rsid w:val="006646AD"/>
    <w:rsid w:val="00675A1F"/>
    <w:rsid w:val="00675AD3"/>
    <w:rsid w:val="00681063"/>
    <w:rsid w:val="00681523"/>
    <w:rsid w:val="00682A59"/>
    <w:rsid w:val="006835A5"/>
    <w:rsid w:val="006854F0"/>
    <w:rsid w:val="00685FA5"/>
    <w:rsid w:val="00686CC7"/>
    <w:rsid w:val="00690DBE"/>
    <w:rsid w:val="00691DC2"/>
    <w:rsid w:val="006965C9"/>
    <w:rsid w:val="006A0A99"/>
    <w:rsid w:val="006A1AED"/>
    <w:rsid w:val="006A6699"/>
    <w:rsid w:val="006A6DA7"/>
    <w:rsid w:val="006B0D94"/>
    <w:rsid w:val="006B147B"/>
    <w:rsid w:val="006B1E14"/>
    <w:rsid w:val="006B2C4F"/>
    <w:rsid w:val="006B52B1"/>
    <w:rsid w:val="006B6093"/>
    <w:rsid w:val="006B6A6F"/>
    <w:rsid w:val="006C02FB"/>
    <w:rsid w:val="006C0F1F"/>
    <w:rsid w:val="006C120D"/>
    <w:rsid w:val="006C2FC3"/>
    <w:rsid w:val="006C47BA"/>
    <w:rsid w:val="006C501E"/>
    <w:rsid w:val="006C6704"/>
    <w:rsid w:val="006D09A7"/>
    <w:rsid w:val="006D4126"/>
    <w:rsid w:val="006D7709"/>
    <w:rsid w:val="006E0326"/>
    <w:rsid w:val="006E1C07"/>
    <w:rsid w:val="006E1D96"/>
    <w:rsid w:val="006E5FDA"/>
    <w:rsid w:val="006F06A1"/>
    <w:rsid w:val="006F0C3E"/>
    <w:rsid w:val="006F2676"/>
    <w:rsid w:val="006F2BCB"/>
    <w:rsid w:val="006F3C02"/>
    <w:rsid w:val="006F6753"/>
    <w:rsid w:val="006F6923"/>
    <w:rsid w:val="00700B91"/>
    <w:rsid w:val="007026C4"/>
    <w:rsid w:val="00702B53"/>
    <w:rsid w:val="00703687"/>
    <w:rsid w:val="007051B4"/>
    <w:rsid w:val="00705D68"/>
    <w:rsid w:val="007079C9"/>
    <w:rsid w:val="00710A9E"/>
    <w:rsid w:val="00710D62"/>
    <w:rsid w:val="00713467"/>
    <w:rsid w:val="007177DB"/>
    <w:rsid w:val="0072145A"/>
    <w:rsid w:val="007239B0"/>
    <w:rsid w:val="00726270"/>
    <w:rsid w:val="007303F2"/>
    <w:rsid w:val="00732BC0"/>
    <w:rsid w:val="007339A0"/>
    <w:rsid w:val="00733E39"/>
    <w:rsid w:val="00734DAC"/>
    <w:rsid w:val="00736722"/>
    <w:rsid w:val="00736C1C"/>
    <w:rsid w:val="007378C8"/>
    <w:rsid w:val="00743A15"/>
    <w:rsid w:val="00745551"/>
    <w:rsid w:val="00753F28"/>
    <w:rsid w:val="00762E57"/>
    <w:rsid w:val="0077156B"/>
    <w:rsid w:val="0077170E"/>
    <w:rsid w:val="00772CEB"/>
    <w:rsid w:val="00774674"/>
    <w:rsid w:val="007746AE"/>
    <w:rsid w:val="007822AC"/>
    <w:rsid w:val="00785155"/>
    <w:rsid w:val="00786362"/>
    <w:rsid w:val="00786A50"/>
    <w:rsid w:val="00786ABE"/>
    <w:rsid w:val="00787C59"/>
    <w:rsid w:val="00790918"/>
    <w:rsid w:val="00790C42"/>
    <w:rsid w:val="00791519"/>
    <w:rsid w:val="00792788"/>
    <w:rsid w:val="0079453B"/>
    <w:rsid w:val="00796EC9"/>
    <w:rsid w:val="007A1729"/>
    <w:rsid w:val="007A23BF"/>
    <w:rsid w:val="007A402C"/>
    <w:rsid w:val="007A4704"/>
    <w:rsid w:val="007A58D3"/>
    <w:rsid w:val="007A739F"/>
    <w:rsid w:val="007B0020"/>
    <w:rsid w:val="007B0620"/>
    <w:rsid w:val="007B12F4"/>
    <w:rsid w:val="007B286B"/>
    <w:rsid w:val="007B2AB2"/>
    <w:rsid w:val="007C30E9"/>
    <w:rsid w:val="007C4720"/>
    <w:rsid w:val="007C4DF1"/>
    <w:rsid w:val="007C603A"/>
    <w:rsid w:val="007C7726"/>
    <w:rsid w:val="007D0900"/>
    <w:rsid w:val="007D34AB"/>
    <w:rsid w:val="007D3B17"/>
    <w:rsid w:val="007D408A"/>
    <w:rsid w:val="007D5413"/>
    <w:rsid w:val="007E06E1"/>
    <w:rsid w:val="007E1A44"/>
    <w:rsid w:val="007E34ED"/>
    <w:rsid w:val="007E38A8"/>
    <w:rsid w:val="007E5A44"/>
    <w:rsid w:val="007E6F08"/>
    <w:rsid w:val="007F0F3E"/>
    <w:rsid w:val="007F4E46"/>
    <w:rsid w:val="007F61A4"/>
    <w:rsid w:val="007F644D"/>
    <w:rsid w:val="007F6507"/>
    <w:rsid w:val="0080292F"/>
    <w:rsid w:val="00802B62"/>
    <w:rsid w:val="008056F2"/>
    <w:rsid w:val="00807739"/>
    <w:rsid w:val="008128D8"/>
    <w:rsid w:val="00815F7C"/>
    <w:rsid w:val="00816613"/>
    <w:rsid w:val="0081718A"/>
    <w:rsid w:val="00823912"/>
    <w:rsid w:val="008325A4"/>
    <w:rsid w:val="008328BB"/>
    <w:rsid w:val="008330E3"/>
    <w:rsid w:val="00833BD3"/>
    <w:rsid w:val="00835FE7"/>
    <w:rsid w:val="0084241A"/>
    <w:rsid w:val="0084580D"/>
    <w:rsid w:val="00847011"/>
    <w:rsid w:val="00851327"/>
    <w:rsid w:val="008524AF"/>
    <w:rsid w:val="008555A4"/>
    <w:rsid w:val="00860A36"/>
    <w:rsid w:val="00860ACC"/>
    <w:rsid w:val="008623A7"/>
    <w:rsid w:val="008639D6"/>
    <w:rsid w:val="00864F57"/>
    <w:rsid w:val="008705BA"/>
    <w:rsid w:val="00873487"/>
    <w:rsid w:val="00873F1F"/>
    <w:rsid w:val="00874BD0"/>
    <w:rsid w:val="00875705"/>
    <w:rsid w:val="008839A0"/>
    <w:rsid w:val="00884801"/>
    <w:rsid w:val="00885335"/>
    <w:rsid w:val="0089037F"/>
    <w:rsid w:val="0089187B"/>
    <w:rsid w:val="008922DA"/>
    <w:rsid w:val="008934BB"/>
    <w:rsid w:val="008947D3"/>
    <w:rsid w:val="008962E7"/>
    <w:rsid w:val="0089718F"/>
    <w:rsid w:val="008A00F5"/>
    <w:rsid w:val="008A16F8"/>
    <w:rsid w:val="008A2A4C"/>
    <w:rsid w:val="008A47DE"/>
    <w:rsid w:val="008A65D2"/>
    <w:rsid w:val="008A6C8E"/>
    <w:rsid w:val="008B0FC3"/>
    <w:rsid w:val="008B2948"/>
    <w:rsid w:val="008B5871"/>
    <w:rsid w:val="008B5EF9"/>
    <w:rsid w:val="008C1DBE"/>
    <w:rsid w:val="008C30EC"/>
    <w:rsid w:val="008C6649"/>
    <w:rsid w:val="008C7D44"/>
    <w:rsid w:val="008D0C3D"/>
    <w:rsid w:val="008D31EA"/>
    <w:rsid w:val="008D4180"/>
    <w:rsid w:val="008D4BCD"/>
    <w:rsid w:val="008D69A8"/>
    <w:rsid w:val="008D7F48"/>
    <w:rsid w:val="008E1D15"/>
    <w:rsid w:val="008E39A6"/>
    <w:rsid w:val="008E70A8"/>
    <w:rsid w:val="008F0DE2"/>
    <w:rsid w:val="008F10E2"/>
    <w:rsid w:val="008F264F"/>
    <w:rsid w:val="008F2BC4"/>
    <w:rsid w:val="008F4A86"/>
    <w:rsid w:val="008F71A3"/>
    <w:rsid w:val="00900161"/>
    <w:rsid w:val="009023DD"/>
    <w:rsid w:val="00902B47"/>
    <w:rsid w:val="00902C61"/>
    <w:rsid w:val="009036F9"/>
    <w:rsid w:val="0090503D"/>
    <w:rsid w:val="00906F8B"/>
    <w:rsid w:val="00910F39"/>
    <w:rsid w:val="009142FD"/>
    <w:rsid w:val="0091669A"/>
    <w:rsid w:val="00920A04"/>
    <w:rsid w:val="00923132"/>
    <w:rsid w:val="00924293"/>
    <w:rsid w:val="0092593D"/>
    <w:rsid w:val="00926447"/>
    <w:rsid w:val="00927AEE"/>
    <w:rsid w:val="00930E13"/>
    <w:rsid w:val="009347EE"/>
    <w:rsid w:val="00935761"/>
    <w:rsid w:val="009371EB"/>
    <w:rsid w:val="00937966"/>
    <w:rsid w:val="00940495"/>
    <w:rsid w:val="009474E5"/>
    <w:rsid w:val="00947A1D"/>
    <w:rsid w:val="00947B62"/>
    <w:rsid w:val="00950B5D"/>
    <w:rsid w:val="00952DBA"/>
    <w:rsid w:val="0095445A"/>
    <w:rsid w:val="0095707F"/>
    <w:rsid w:val="00963A47"/>
    <w:rsid w:val="00964980"/>
    <w:rsid w:val="009707DF"/>
    <w:rsid w:val="009723E7"/>
    <w:rsid w:val="00972968"/>
    <w:rsid w:val="00973244"/>
    <w:rsid w:val="00973FC8"/>
    <w:rsid w:val="0098061E"/>
    <w:rsid w:val="00982310"/>
    <w:rsid w:val="00983A70"/>
    <w:rsid w:val="00983AFB"/>
    <w:rsid w:val="009846A4"/>
    <w:rsid w:val="00987167"/>
    <w:rsid w:val="009875DC"/>
    <w:rsid w:val="00990FA7"/>
    <w:rsid w:val="00991D0A"/>
    <w:rsid w:val="00992281"/>
    <w:rsid w:val="009929E6"/>
    <w:rsid w:val="009929FF"/>
    <w:rsid w:val="00992BDB"/>
    <w:rsid w:val="009942C2"/>
    <w:rsid w:val="009948BA"/>
    <w:rsid w:val="00997DC1"/>
    <w:rsid w:val="009A131B"/>
    <w:rsid w:val="009A1623"/>
    <w:rsid w:val="009A394F"/>
    <w:rsid w:val="009A5F6A"/>
    <w:rsid w:val="009B0F53"/>
    <w:rsid w:val="009B141A"/>
    <w:rsid w:val="009B3787"/>
    <w:rsid w:val="009C0597"/>
    <w:rsid w:val="009C074F"/>
    <w:rsid w:val="009C1C4B"/>
    <w:rsid w:val="009C2411"/>
    <w:rsid w:val="009C369A"/>
    <w:rsid w:val="009C370F"/>
    <w:rsid w:val="009C3F98"/>
    <w:rsid w:val="009C70FF"/>
    <w:rsid w:val="009C7991"/>
    <w:rsid w:val="009D4E2C"/>
    <w:rsid w:val="009E0261"/>
    <w:rsid w:val="009E1CBB"/>
    <w:rsid w:val="009E44A8"/>
    <w:rsid w:val="009E4F42"/>
    <w:rsid w:val="009E56A2"/>
    <w:rsid w:val="009E6697"/>
    <w:rsid w:val="009E7121"/>
    <w:rsid w:val="009F3635"/>
    <w:rsid w:val="009F3886"/>
    <w:rsid w:val="009F6E6C"/>
    <w:rsid w:val="009F7E07"/>
    <w:rsid w:val="00A00CD3"/>
    <w:rsid w:val="00A00E1D"/>
    <w:rsid w:val="00A052D5"/>
    <w:rsid w:val="00A06B6A"/>
    <w:rsid w:val="00A06FBA"/>
    <w:rsid w:val="00A0747D"/>
    <w:rsid w:val="00A07857"/>
    <w:rsid w:val="00A106AC"/>
    <w:rsid w:val="00A134DE"/>
    <w:rsid w:val="00A17222"/>
    <w:rsid w:val="00A17DB2"/>
    <w:rsid w:val="00A20F99"/>
    <w:rsid w:val="00A24C26"/>
    <w:rsid w:val="00A24F12"/>
    <w:rsid w:val="00A26CA2"/>
    <w:rsid w:val="00A30D78"/>
    <w:rsid w:val="00A3725D"/>
    <w:rsid w:val="00A37FBF"/>
    <w:rsid w:val="00A4045D"/>
    <w:rsid w:val="00A4113B"/>
    <w:rsid w:val="00A42609"/>
    <w:rsid w:val="00A42709"/>
    <w:rsid w:val="00A429FF"/>
    <w:rsid w:val="00A43326"/>
    <w:rsid w:val="00A43A9C"/>
    <w:rsid w:val="00A44828"/>
    <w:rsid w:val="00A46568"/>
    <w:rsid w:val="00A52E82"/>
    <w:rsid w:val="00A54525"/>
    <w:rsid w:val="00A55732"/>
    <w:rsid w:val="00A600AE"/>
    <w:rsid w:val="00A607ED"/>
    <w:rsid w:val="00A60BDB"/>
    <w:rsid w:val="00A61D34"/>
    <w:rsid w:val="00A641C9"/>
    <w:rsid w:val="00A661B5"/>
    <w:rsid w:val="00A66AD1"/>
    <w:rsid w:val="00A66FB0"/>
    <w:rsid w:val="00A673CD"/>
    <w:rsid w:val="00A77059"/>
    <w:rsid w:val="00A81E4B"/>
    <w:rsid w:val="00A87DD4"/>
    <w:rsid w:val="00A92FA1"/>
    <w:rsid w:val="00A94057"/>
    <w:rsid w:val="00A94593"/>
    <w:rsid w:val="00A945E7"/>
    <w:rsid w:val="00A96536"/>
    <w:rsid w:val="00AA220F"/>
    <w:rsid w:val="00AA4982"/>
    <w:rsid w:val="00AA7A08"/>
    <w:rsid w:val="00AB1713"/>
    <w:rsid w:val="00AB24AC"/>
    <w:rsid w:val="00AB5D12"/>
    <w:rsid w:val="00AC08F6"/>
    <w:rsid w:val="00AC1D29"/>
    <w:rsid w:val="00AC227A"/>
    <w:rsid w:val="00AC3AD2"/>
    <w:rsid w:val="00AC3D46"/>
    <w:rsid w:val="00AC524B"/>
    <w:rsid w:val="00AC5A4E"/>
    <w:rsid w:val="00AD1670"/>
    <w:rsid w:val="00AD215C"/>
    <w:rsid w:val="00AD2E91"/>
    <w:rsid w:val="00AD3171"/>
    <w:rsid w:val="00AD4F50"/>
    <w:rsid w:val="00AD5B9F"/>
    <w:rsid w:val="00AE2C31"/>
    <w:rsid w:val="00AE4B6D"/>
    <w:rsid w:val="00AE5265"/>
    <w:rsid w:val="00AE5BEC"/>
    <w:rsid w:val="00AE7135"/>
    <w:rsid w:val="00AF1BBF"/>
    <w:rsid w:val="00AF447C"/>
    <w:rsid w:val="00AF47B2"/>
    <w:rsid w:val="00B00037"/>
    <w:rsid w:val="00B02697"/>
    <w:rsid w:val="00B0374C"/>
    <w:rsid w:val="00B044D7"/>
    <w:rsid w:val="00B04B88"/>
    <w:rsid w:val="00B05604"/>
    <w:rsid w:val="00B05DD3"/>
    <w:rsid w:val="00B11DBC"/>
    <w:rsid w:val="00B17E00"/>
    <w:rsid w:val="00B20513"/>
    <w:rsid w:val="00B21071"/>
    <w:rsid w:val="00B211D5"/>
    <w:rsid w:val="00B21213"/>
    <w:rsid w:val="00B2506B"/>
    <w:rsid w:val="00B25B05"/>
    <w:rsid w:val="00B30250"/>
    <w:rsid w:val="00B31C78"/>
    <w:rsid w:val="00B32D52"/>
    <w:rsid w:val="00B339E7"/>
    <w:rsid w:val="00B34CED"/>
    <w:rsid w:val="00B42011"/>
    <w:rsid w:val="00B454F1"/>
    <w:rsid w:val="00B45915"/>
    <w:rsid w:val="00B45F13"/>
    <w:rsid w:val="00B5019C"/>
    <w:rsid w:val="00B543E2"/>
    <w:rsid w:val="00B54831"/>
    <w:rsid w:val="00B56367"/>
    <w:rsid w:val="00B56AA0"/>
    <w:rsid w:val="00B62952"/>
    <w:rsid w:val="00B6302C"/>
    <w:rsid w:val="00B63256"/>
    <w:rsid w:val="00B66264"/>
    <w:rsid w:val="00B666E5"/>
    <w:rsid w:val="00B70102"/>
    <w:rsid w:val="00B70264"/>
    <w:rsid w:val="00B70277"/>
    <w:rsid w:val="00B712E3"/>
    <w:rsid w:val="00B718F3"/>
    <w:rsid w:val="00B73BB1"/>
    <w:rsid w:val="00B747C5"/>
    <w:rsid w:val="00B763D3"/>
    <w:rsid w:val="00B8024C"/>
    <w:rsid w:val="00B81204"/>
    <w:rsid w:val="00B8460E"/>
    <w:rsid w:val="00B854C3"/>
    <w:rsid w:val="00B862A1"/>
    <w:rsid w:val="00B91710"/>
    <w:rsid w:val="00B926D8"/>
    <w:rsid w:val="00B92F29"/>
    <w:rsid w:val="00BA0217"/>
    <w:rsid w:val="00BA4547"/>
    <w:rsid w:val="00BA79D9"/>
    <w:rsid w:val="00BB23FE"/>
    <w:rsid w:val="00BB6A25"/>
    <w:rsid w:val="00BC02EC"/>
    <w:rsid w:val="00BC1CC7"/>
    <w:rsid w:val="00BC2544"/>
    <w:rsid w:val="00BC25AE"/>
    <w:rsid w:val="00BC2E0E"/>
    <w:rsid w:val="00BC4170"/>
    <w:rsid w:val="00BC5D51"/>
    <w:rsid w:val="00BC5F1C"/>
    <w:rsid w:val="00BD0361"/>
    <w:rsid w:val="00BD2CBF"/>
    <w:rsid w:val="00BD6661"/>
    <w:rsid w:val="00BE173A"/>
    <w:rsid w:val="00BE3732"/>
    <w:rsid w:val="00BE4265"/>
    <w:rsid w:val="00BE5315"/>
    <w:rsid w:val="00BE605C"/>
    <w:rsid w:val="00BE7449"/>
    <w:rsid w:val="00BF4701"/>
    <w:rsid w:val="00BF4BD3"/>
    <w:rsid w:val="00BF6F4E"/>
    <w:rsid w:val="00BF7A90"/>
    <w:rsid w:val="00C00BA7"/>
    <w:rsid w:val="00C01487"/>
    <w:rsid w:val="00C064EB"/>
    <w:rsid w:val="00C10260"/>
    <w:rsid w:val="00C113BA"/>
    <w:rsid w:val="00C125F0"/>
    <w:rsid w:val="00C128FF"/>
    <w:rsid w:val="00C14AE2"/>
    <w:rsid w:val="00C15B46"/>
    <w:rsid w:val="00C20144"/>
    <w:rsid w:val="00C21558"/>
    <w:rsid w:val="00C266F5"/>
    <w:rsid w:val="00C309C5"/>
    <w:rsid w:val="00C30C4C"/>
    <w:rsid w:val="00C310FA"/>
    <w:rsid w:val="00C31211"/>
    <w:rsid w:val="00C320DB"/>
    <w:rsid w:val="00C33B62"/>
    <w:rsid w:val="00C37125"/>
    <w:rsid w:val="00C37944"/>
    <w:rsid w:val="00C411E4"/>
    <w:rsid w:val="00C42275"/>
    <w:rsid w:val="00C4601C"/>
    <w:rsid w:val="00C46297"/>
    <w:rsid w:val="00C50182"/>
    <w:rsid w:val="00C52BA6"/>
    <w:rsid w:val="00C540F2"/>
    <w:rsid w:val="00C56658"/>
    <w:rsid w:val="00C60BE4"/>
    <w:rsid w:val="00C639C0"/>
    <w:rsid w:val="00C652A4"/>
    <w:rsid w:val="00C65E2B"/>
    <w:rsid w:val="00C717A8"/>
    <w:rsid w:val="00C71A94"/>
    <w:rsid w:val="00C71E43"/>
    <w:rsid w:val="00C7264B"/>
    <w:rsid w:val="00C77C0A"/>
    <w:rsid w:val="00C81629"/>
    <w:rsid w:val="00C82A52"/>
    <w:rsid w:val="00C839AF"/>
    <w:rsid w:val="00C839EC"/>
    <w:rsid w:val="00C858AF"/>
    <w:rsid w:val="00C85E8C"/>
    <w:rsid w:val="00C866EB"/>
    <w:rsid w:val="00C87686"/>
    <w:rsid w:val="00C904D2"/>
    <w:rsid w:val="00C92540"/>
    <w:rsid w:val="00CA21B0"/>
    <w:rsid w:val="00CA6FE3"/>
    <w:rsid w:val="00CB0836"/>
    <w:rsid w:val="00CB327C"/>
    <w:rsid w:val="00CB7BBD"/>
    <w:rsid w:val="00CC549F"/>
    <w:rsid w:val="00CC6725"/>
    <w:rsid w:val="00CC6F8A"/>
    <w:rsid w:val="00CD1305"/>
    <w:rsid w:val="00CD26F3"/>
    <w:rsid w:val="00CD3C9F"/>
    <w:rsid w:val="00CD4354"/>
    <w:rsid w:val="00CD516B"/>
    <w:rsid w:val="00CD5AD0"/>
    <w:rsid w:val="00CD7B30"/>
    <w:rsid w:val="00CE1751"/>
    <w:rsid w:val="00CE2702"/>
    <w:rsid w:val="00CE2992"/>
    <w:rsid w:val="00CF1653"/>
    <w:rsid w:val="00CF2B3A"/>
    <w:rsid w:val="00CF3B1F"/>
    <w:rsid w:val="00CF52D0"/>
    <w:rsid w:val="00D01CC6"/>
    <w:rsid w:val="00D0459C"/>
    <w:rsid w:val="00D10BF6"/>
    <w:rsid w:val="00D112EF"/>
    <w:rsid w:val="00D12D70"/>
    <w:rsid w:val="00D1319A"/>
    <w:rsid w:val="00D1401E"/>
    <w:rsid w:val="00D16501"/>
    <w:rsid w:val="00D16734"/>
    <w:rsid w:val="00D171E3"/>
    <w:rsid w:val="00D20C3E"/>
    <w:rsid w:val="00D21078"/>
    <w:rsid w:val="00D21412"/>
    <w:rsid w:val="00D23828"/>
    <w:rsid w:val="00D270B6"/>
    <w:rsid w:val="00D272AF"/>
    <w:rsid w:val="00D30C73"/>
    <w:rsid w:val="00D30C90"/>
    <w:rsid w:val="00D33CD3"/>
    <w:rsid w:val="00D3582B"/>
    <w:rsid w:val="00D35BC9"/>
    <w:rsid w:val="00D4141C"/>
    <w:rsid w:val="00D46E27"/>
    <w:rsid w:val="00D471A3"/>
    <w:rsid w:val="00D47B2F"/>
    <w:rsid w:val="00D5104A"/>
    <w:rsid w:val="00D5387B"/>
    <w:rsid w:val="00D53AD8"/>
    <w:rsid w:val="00D54C65"/>
    <w:rsid w:val="00D5554F"/>
    <w:rsid w:val="00D571A4"/>
    <w:rsid w:val="00D575BE"/>
    <w:rsid w:val="00D6070A"/>
    <w:rsid w:val="00D6183A"/>
    <w:rsid w:val="00D61F0F"/>
    <w:rsid w:val="00D61F2D"/>
    <w:rsid w:val="00D65702"/>
    <w:rsid w:val="00D66AE9"/>
    <w:rsid w:val="00D741AB"/>
    <w:rsid w:val="00D758AE"/>
    <w:rsid w:val="00D76E62"/>
    <w:rsid w:val="00D80075"/>
    <w:rsid w:val="00D830D9"/>
    <w:rsid w:val="00D839FE"/>
    <w:rsid w:val="00D874A2"/>
    <w:rsid w:val="00D875B6"/>
    <w:rsid w:val="00D913DB"/>
    <w:rsid w:val="00D956CA"/>
    <w:rsid w:val="00D97BEE"/>
    <w:rsid w:val="00D97E41"/>
    <w:rsid w:val="00DA3751"/>
    <w:rsid w:val="00DA4C7E"/>
    <w:rsid w:val="00DA5C65"/>
    <w:rsid w:val="00DA6863"/>
    <w:rsid w:val="00DA69DA"/>
    <w:rsid w:val="00DB0170"/>
    <w:rsid w:val="00DB37F9"/>
    <w:rsid w:val="00DB4C2A"/>
    <w:rsid w:val="00DB6327"/>
    <w:rsid w:val="00DB6466"/>
    <w:rsid w:val="00DC1A64"/>
    <w:rsid w:val="00DC2374"/>
    <w:rsid w:val="00DC42EA"/>
    <w:rsid w:val="00DC489F"/>
    <w:rsid w:val="00DC69AF"/>
    <w:rsid w:val="00DC71C9"/>
    <w:rsid w:val="00DC7307"/>
    <w:rsid w:val="00DD02B2"/>
    <w:rsid w:val="00DD1F10"/>
    <w:rsid w:val="00DD34DF"/>
    <w:rsid w:val="00DD4A2C"/>
    <w:rsid w:val="00DD5C90"/>
    <w:rsid w:val="00DE340A"/>
    <w:rsid w:val="00DE39B9"/>
    <w:rsid w:val="00DE5DED"/>
    <w:rsid w:val="00DE727B"/>
    <w:rsid w:val="00DE7304"/>
    <w:rsid w:val="00DE79A3"/>
    <w:rsid w:val="00DE7BEE"/>
    <w:rsid w:val="00DF1B8F"/>
    <w:rsid w:val="00DF4EA8"/>
    <w:rsid w:val="00E043AB"/>
    <w:rsid w:val="00E10D49"/>
    <w:rsid w:val="00E1158E"/>
    <w:rsid w:val="00E11DD9"/>
    <w:rsid w:val="00E12876"/>
    <w:rsid w:val="00E15283"/>
    <w:rsid w:val="00E16967"/>
    <w:rsid w:val="00E17DCE"/>
    <w:rsid w:val="00E24AD3"/>
    <w:rsid w:val="00E30C10"/>
    <w:rsid w:val="00E31558"/>
    <w:rsid w:val="00E34F90"/>
    <w:rsid w:val="00E35088"/>
    <w:rsid w:val="00E35C03"/>
    <w:rsid w:val="00E37C61"/>
    <w:rsid w:val="00E40F21"/>
    <w:rsid w:val="00E462C1"/>
    <w:rsid w:val="00E55B8E"/>
    <w:rsid w:val="00E55E15"/>
    <w:rsid w:val="00E57156"/>
    <w:rsid w:val="00E57A92"/>
    <w:rsid w:val="00E602C9"/>
    <w:rsid w:val="00E65DC7"/>
    <w:rsid w:val="00E70311"/>
    <w:rsid w:val="00E741A5"/>
    <w:rsid w:val="00E7564F"/>
    <w:rsid w:val="00E80B22"/>
    <w:rsid w:val="00E81A13"/>
    <w:rsid w:val="00E850A8"/>
    <w:rsid w:val="00E91A2B"/>
    <w:rsid w:val="00E934BC"/>
    <w:rsid w:val="00E93C10"/>
    <w:rsid w:val="00E94FBB"/>
    <w:rsid w:val="00EA04CB"/>
    <w:rsid w:val="00EA0C05"/>
    <w:rsid w:val="00EA38C7"/>
    <w:rsid w:val="00EA43D6"/>
    <w:rsid w:val="00EA5CA8"/>
    <w:rsid w:val="00EA6E02"/>
    <w:rsid w:val="00EA7C54"/>
    <w:rsid w:val="00EB1609"/>
    <w:rsid w:val="00EB506A"/>
    <w:rsid w:val="00EB6D64"/>
    <w:rsid w:val="00EC0C06"/>
    <w:rsid w:val="00EC177C"/>
    <w:rsid w:val="00EC4AFE"/>
    <w:rsid w:val="00EC587F"/>
    <w:rsid w:val="00EC6B7C"/>
    <w:rsid w:val="00ED2374"/>
    <w:rsid w:val="00ED2AB1"/>
    <w:rsid w:val="00ED3EA8"/>
    <w:rsid w:val="00ED4574"/>
    <w:rsid w:val="00EE2273"/>
    <w:rsid w:val="00EE3B82"/>
    <w:rsid w:val="00EE41A6"/>
    <w:rsid w:val="00EE5E73"/>
    <w:rsid w:val="00EE61B3"/>
    <w:rsid w:val="00EE775C"/>
    <w:rsid w:val="00EE7AF7"/>
    <w:rsid w:val="00EF3CB8"/>
    <w:rsid w:val="00EF5879"/>
    <w:rsid w:val="00EF63B2"/>
    <w:rsid w:val="00EF6443"/>
    <w:rsid w:val="00F0530E"/>
    <w:rsid w:val="00F06D77"/>
    <w:rsid w:val="00F100A7"/>
    <w:rsid w:val="00F1042E"/>
    <w:rsid w:val="00F111A4"/>
    <w:rsid w:val="00F1536D"/>
    <w:rsid w:val="00F17F4E"/>
    <w:rsid w:val="00F21F99"/>
    <w:rsid w:val="00F24B87"/>
    <w:rsid w:val="00F279FE"/>
    <w:rsid w:val="00F339CA"/>
    <w:rsid w:val="00F35CC0"/>
    <w:rsid w:val="00F364FD"/>
    <w:rsid w:val="00F4004C"/>
    <w:rsid w:val="00F412BB"/>
    <w:rsid w:val="00F443B4"/>
    <w:rsid w:val="00F50EE3"/>
    <w:rsid w:val="00F51A2E"/>
    <w:rsid w:val="00F53C10"/>
    <w:rsid w:val="00F6138D"/>
    <w:rsid w:val="00F64454"/>
    <w:rsid w:val="00F6721C"/>
    <w:rsid w:val="00F72AE8"/>
    <w:rsid w:val="00F73B63"/>
    <w:rsid w:val="00F76BFB"/>
    <w:rsid w:val="00F77A72"/>
    <w:rsid w:val="00F807A9"/>
    <w:rsid w:val="00F80F97"/>
    <w:rsid w:val="00F81752"/>
    <w:rsid w:val="00F826BA"/>
    <w:rsid w:val="00F82C51"/>
    <w:rsid w:val="00F83DE5"/>
    <w:rsid w:val="00F84320"/>
    <w:rsid w:val="00F86803"/>
    <w:rsid w:val="00F87F63"/>
    <w:rsid w:val="00F95507"/>
    <w:rsid w:val="00F95665"/>
    <w:rsid w:val="00F977D8"/>
    <w:rsid w:val="00FA1FE7"/>
    <w:rsid w:val="00FA2D34"/>
    <w:rsid w:val="00FA441F"/>
    <w:rsid w:val="00FA49F4"/>
    <w:rsid w:val="00FA5D04"/>
    <w:rsid w:val="00FA6ADE"/>
    <w:rsid w:val="00FA773B"/>
    <w:rsid w:val="00FB1F1F"/>
    <w:rsid w:val="00FB2543"/>
    <w:rsid w:val="00FB29BE"/>
    <w:rsid w:val="00FB2E87"/>
    <w:rsid w:val="00FB527E"/>
    <w:rsid w:val="00FB5674"/>
    <w:rsid w:val="00FB5DAB"/>
    <w:rsid w:val="00FC131E"/>
    <w:rsid w:val="00FD1227"/>
    <w:rsid w:val="00FD2896"/>
    <w:rsid w:val="00FD3387"/>
    <w:rsid w:val="00FD424F"/>
    <w:rsid w:val="00FD4348"/>
    <w:rsid w:val="00FD48F4"/>
    <w:rsid w:val="00FD4C0A"/>
    <w:rsid w:val="00FD5360"/>
    <w:rsid w:val="00FE242C"/>
    <w:rsid w:val="00FE5E73"/>
    <w:rsid w:val="00FF11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3FE3FF4"/>
  <w15:docId w15:val="{771B98EE-26F7-487E-B925-3C020AA24E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40F21"/>
    <w:pPr>
      <w:spacing w:line="300" w:lineRule="auto"/>
    </w:pPr>
    <w:rPr>
      <w:rFonts w:ascii="Arial Narrow" w:hAnsi="Arial Narrow" w:cs="Arial"/>
      <w:sz w:val="22"/>
    </w:rPr>
  </w:style>
  <w:style w:type="paragraph" w:styleId="Nadpis1">
    <w:name w:val="heading 1"/>
    <w:basedOn w:val="Normln"/>
    <w:next w:val="AqpText"/>
    <w:link w:val="Nadpis1Char"/>
    <w:uiPriority w:val="99"/>
    <w:qFormat/>
    <w:rsid w:val="006F6753"/>
    <w:pPr>
      <w:keepNext/>
      <w:numPr>
        <w:numId w:val="9"/>
      </w:numPr>
      <w:spacing w:before="360" w:after="120"/>
      <w:outlineLvl w:val="0"/>
    </w:pPr>
    <w:rPr>
      <w:b/>
      <w:bCs/>
      <w:caps/>
      <w:kern w:val="32"/>
      <w:sz w:val="28"/>
      <w:szCs w:val="28"/>
    </w:rPr>
  </w:style>
  <w:style w:type="paragraph" w:styleId="Nadpis2">
    <w:name w:val="heading 2"/>
    <w:basedOn w:val="Normln"/>
    <w:next w:val="AqpText"/>
    <w:link w:val="Nadpis2Char"/>
    <w:uiPriority w:val="99"/>
    <w:qFormat/>
    <w:rsid w:val="0030632D"/>
    <w:pPr>
      <w:keepNext/>
      <w:numPr>
        <w:ilvl w:val="1"/>
        <w:numId w:val="9"/>
      </w:numPr>
      <w:spacing w:before="360" w:after="60"/>
      <w:outlineLvl w:val="1"/>
    </w:pPr>
    <w:rPr>
      <w:b/>
      <w:bCs/>
      <w:caps/>
      <w:sz w:val="24"/>
    </w:rPr>
  </w:style>
  <w:style w:type="paragraph" w:styleId="Nadpis3">
    <w:name w:val="heading 3"/>
    <w:basedOn w:val="Normln"/>
    <w:next w:val="AqpText"/>
    <w:link w:val="Nadpis3Char"/>
    <w:uiPriority w:val="99"/>
    <w:qFormat/>
    <w:rsid w:val="000F14C5"/>
    <w:pPr>
      <w:keepNext/>
      <w:numPr>
        <w:ilvl w:val="2"/>
        <w:numId w:val="9"/>
      </w:numPr>
      <w:spacing w:before="360" w:after="60"/>
      <w:outlineLvl w:val="2"/>
    </w:pPr>
    <w:rPr>
      <w:b/>
      <w:bCs/>
    </w:rPr>
  </w:style>
  <w:style w:type="paragraph" w:styleId="Nadpis4">
    <w:name w:val="heading 4"/>
    <w:basedOn w:val="Normln"/>
    <w:next w:val="AqpText"/>
    <w:link w:val="Nadpis4Char"/>
    <w:uiPriority w:val="99"/>
    <w:qFormat/>
    <w:rsid w:val="000F14C5"/>
    <w:pPr>
      <w:keepNext/>
      <w:numPr>
        <w:ilvl w:val="3"/>
        <w:numId w:val="9"/>
      </w:numPr>
      <w:spacing w:before="240" w:after="60"/>
      <w:outlineLvl w:val="3"/>
    </w:pPr>
    <w:rPr>
      <w:b/>
      <w:bCs/>
      <w:spacing w:val="20"/>
    </w:rPr>
  </w:style>
  <w:style w:type="paragraph" w:styleId="Nadpis5">
    <w:name w:val="heading 5"/>
    <w:basedOn w:val="Normln"/>
    <w:next w:val="AqpText"/>
    <w:link w:val="Nadpis5Char"/>
    <w:uiPriority w:val="99"/>
    <w:qFormat/>
    <w:rsid w:val="000F14C5"/>
    <w:pPr>
      <w:keepNext/>
      <w:numPr>
        <w:ilvl w:val="4"/>
        <w:numId w:val="9"/>
      </w:numPr>
      <w:spacing w:before="180" w:after="60"/>
      <w:outlineLvl w:val="4"/>
    </w:pPr>
    <w:rPr>
      <w:spacing w:val="20"/>
    </w:rPr>
  </w:style>
  <w:style w:type="paragraph" w:styleId="Nadpis6">
    <w:name w:val="heading 6"/>
    <w:basedOn w:val="Normln"/>
    <w:next w:val="AqpText"/>
    <w:link w:val="Nadpis6Char"/>
    <w:uiPriority w:val="99"/>
    <w:qFormat/>
    <w:rsid w:val="000F14C5"/>
    <w:pPr>
      <w:keepNext/>
      <w:numPr>
        <w:ilvl w:val="5"/>
        <w:numId w:val="9"/>
      </w:numPr>
      <w:spacing w:before="180" w:after="60"/>
      <w:outlineLvl w:val="5"/>
    </w:pPr>
  </w:style>
  <w:style w:type="paragraph" w:styleId="Nadpis7">
    <w:name w:val="heading 7"/>
    <w:basedOn w:val="Normln"/>
    <w:next w:val="AqpText"/>
    <w:link w:val="Nadpis7Char"/>
    <w:uiPriority w:val="99"/>
    <w:qFormat/>
    <w:rsid w:val="000F14C5"/>
    <w:pPr>
      <w:keepNext/>
      <w:numPr>
        <w:ilvl w:val="6"/>
        <w:numId w:val="9"/>
      </w:numPr>
      <w:spacing w:before="180" w:after="60"/>
      <w:outlineLvl w:val="6"/>
    </w:pPr>
    <w:rPr>
      <w:i/>
      <w:iCs/>
    </w:rPr>
  </w:style>
  <w:style w:type="paragraph" w:styleId="Nadpis8">
    <w:name w:val="heading 8"/>
    <w:basedOn w:val="Normln"/>
    <w:next w:val="Normln"/>
    <w:link w:val="Nadpis8Char"/>
    <w:uiPriority w:val="99"/>
    <w:qFormat/>
    <w:rsid w:val="000F14C5"/>
    <w:pPr>
      <w:numPr>
        <w:ilvl w:val="7"/>
        <w:numId w:val="9"/>
      </w:numPr>
      <w:spacing w:before="240" w:after="60"/>
      <w:outlineLvl w:val="7"/>
    </w:pPr>
    <w:rPr>
      <w:i/>
      <w:iCs/>
    </w:rPr>
  </w:style>
  <w:style w:type="paragraph" w:styleId="Nadpis9">
    <w:name w:val="heading 9"/>
    <w:basedOn w:val="Normln"/>
    <w:next w:val="Normln"/>
    <w:link w:val="Nadpis9Char"/>
    <w:uiPriority w:val="99"/>
    <w:qFormat/>
    <w:rsid w:val="000F14C5"/>
    <w:pPr>
      <w:numPr>
        <w:ilvl w:val="8"/>
        <w:numId w:val="9"/>
      </w:numPr>
      <w:spacing w:before="240" w:after="60"/>
      <w:outlineLvl w:val="8"/>
    </w:pPr>
    <w:rPr>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9"/>
    <w:locked/>
    <w:rsid w:val="0046625A"/>
    <w:rPr>
      <w:rFonts w:ascii="Cambria" w:hAnsi="Cambria" w:cs="Cambria"/>
      <w:b/>
      <w:bCs/>
      <w:kern w:val="32"/>
      <w:sz w:val="32"/>
      <w:szCs w:val="32"/>
    </w:rPr>
  </w:style>
  <w:style w:type="character" w:customStyle="1" w:styleId="Nadpis2Char">
    <w:name w:val="Nadpis 2 Char"/>
    <w:basedOn w:val="Standardnpsmoodstavce"/>
    <w:link w:val="Nadpis2"/>
    <w:uiPriority w:val="99"/>
    <w:locked/>
    <w:rsid w:val="0030632D"/>
    <w:rPr>
      <w:rFonts w:ascii="Arial Narrow" w:hAnsi="Arial Narrow" w:cs="Arial"/>
      <w:b/>
      <w:bCs/>
      <w:caps/>
      <w:sz w:val="24"/>
    </w:rPr>
  </w:style>
  <w:style w:type="character" w:customStyle="1" w:styleId="Nadpis3Char">
    <w:name w:val="Nadpis 3 Char"/>
    <w:basedOn w:val="Standardnpsmoodstavce"/>
    <w:link w:val="Nadpis3"/>
    <w:uiPriority w:val="99"/>
    <w:locked/>
    <w:rsid w:val="000F14C5"/>
    <w:rPr>
      <w:rFonts w:ascii="Arial" w:hAnsi="Arial" w:cs="Arial"/>
      <w:b/>
      <w:bCs/>
    </w:rPr>
  </w:style>
  <w:style w:type="character" w:customStyle="1" w:styleId="Nadpis4Char">
    <w:name w:val="Nadpis 4 Char"/>
    <w:basedOn w:val="Standardnpsmoodstavce"/>
    <w:link w:val="Nadpis4"/>
    <w:uiPriority w:val="99"/>
    <w:locked/>
    <w:rsid w:val="000F14C5"/>
    <w:rPr>
      <w:rFonts w:ascii="Arial" w:hAnsi="Arial" w:cs="Arial"/>
      <w:b/>
      <w:bCs/>
      <w:spacing w:val="20"/>
    </w:rPr>
  </w:style>
  <w:style w:type="character" w:customStyle="1" w:styleId="Nadpis5Char">
    <w:name w:val="Nadpis 5 Char"/>
    <w:basedOn w:val="Standardnpsmoodstavce"/>
    <w:link w:val="Nadpis5"/>
    <w:uiPriority w:val="99"/>
    <w:locked/>
    <w:rsid w:val="000F14C5"/>
    <w:rPr>
      <w:rFonts w:ascii="Arial" w:hAnsi="Arial" w:cs="Arial"/>
      <w:spacing w:val="20"/>
    </w:rPr>
  </w:style>
  <w:style w:type="character" w:customStyle="1" w:styleId="Nadpis6Char">
    <w:name w:val="Nadpis 6 Char"/>
    <w:basedOn w:val="Standardnpsmoodstavce"/>
    <w:link w:val="Nadpis6"/>
    <w:uiPriority w:val="99"/>
    <w:locked/>
    <w:rsid w:val="000F14C5"/>
    <w:rPr>
      <w:rFonts w:ascii="Arial" w:hAnsi="Arial" w:cs="Arial"/>
    </w:rPr>
  </w:style>
  <w:style w:type="character" w:customStyle="1" w:styleId="Nadpis7Char">
    <w:name w:val="Nadpis 7 Char"/>
    <w:basedOn w:val="Standardnpsmoodstavce"/>
    <w:link w:val="Nadpis7"/>
    <w:uiPriority w:val="99"/>
    <w:locked/>
    <w:rsid w:val="000F14C5"/>
    <w:rPr>
      <w:rFonts w:ascii="Arial" w:hAnsi="Arial" w:cs="Arial"/>
      <w:i/>
      <w:iCs/>
    </w:rPr>
  </w:style>
  <w:style w:type="character" w:customStyle="1" w:styleId="Nadpis8Char">
    <w:name w:val="Nadpis 8 Char"/>
    <w:basedOn w:val="Standardnpsmoodstavce"/>
    <w:link w:val="Nadpis8"/>
    <w:uiPriority w:val="99"/>
    <w:locked/>
    <w:rsid w:val="000F14C5"/>
    <w:rPr>
      <w:rFonts w:ascii="Arial" w:hAnsi="Arial" w:cs="Arial"/>
      <w:i/>
      <w:iCs/>
    </w:rPr>
  </w:style>
  <w:style w:type="character" w:customStyle="1" w:styleId="Nadpis9Char">
    <w:name w:val="Nadpis 9 Char"/>
    <w:basedOn w:val="Standardnpsmoodstavce"/>
    <w:link w:val="Nadpis9"/>
    <w:uiPriority w:val="99"/>
    <w:locked/>
    <w:rsid w:val="000F14C5"/>
    <w:rPr>
      <w:rFonts w:ascii="Arial" w:hAnsi="Arial" w:cs="Arial"/>
      <w:sz w:val="22"/>
      <w:szCs w:val="22"/>
    </w:rPr>
  </w:style>
  <w:style w:type="character" w:customStyle="1" w:styleId="Nadpis1Char">
    <w:name w:val="Nadpis 1 Char"/>
    <w:basedOn w:val="Standardnpsmoodstavce"/>
    <w:link w:val="Nadpis1"/>
    <w:uiPriority w:val="99"/>
    <w:locked/>
    <w:rsid w:val="006F6753"/>
    <w:rPr>
      <w:rFonts w:ascii="Arial" w:hAnsi="Arial" w:cs="Arial"/>
      <w:b/>
      <w:bCs/>
      <w:caps/>
      <w:kern w:val="32"/>
      <w:sz w:val="28"/>
      <w:szCs w:val="28"/>
    </w:rPr>
  </w:style>
  <w:style w:type="paragraph" w:customStyle="1" w:styleId="AqpText">
    <w:name w:val="AqpText"/>
    <w:basedOn w:val="Normln"/>
    <w:link w:val="AqpTextChar2"/>
    <w:uiPriority w:val="99"/>
    <w:rsid w:val="006B0D94"/>
    <w:pPr>
      <w:spacing w:before="120"/>
      <w:jc w:val="both"/>
    </w:pPr>
  </w:style>
  <w:style w:type="character" w:customStyle="1" w:styleId="AqpTextChar2">
    <w:name w:val="AqpText Char2"/>
    <w:basedOn w:val="Standardnpsmoodstavce"/>
    <w:link w:val="AqpText"/>
    <w:uiPriority w:val="99"/>
    <w:locked/>
    <w:rsid w:val="006B0D94"/>
    <w:rPr>
      <w:rFonts w:ascii="Arial" w:hAnsi="Arial" w:cs="Arial"/>
      <w:sz w:val="24"/>
      <w:szCs w:val="24"/>
      <w:lang w:val="cs-CZ" w:eastAsia="cs-CZ"/>
    </w:rPr>
  </w:style>
  <w:style w:type="paragraph" w:customStyle="1" w:styleId="AqpNadpisTab">
    <w:name w:val="AqpNadpisTab"/>
    <w:basedOn w:val="Normln"/>
    <w:next w:val="AqpText"/>
    <w:link w:val="AqpNadpisTabChar"/>
    <w:uiPriority w:val="99"/>
    <w:rsid w:val="00987167"/>
    <w:pPr>
      <w:keepNext/>
      <w:spacing w:before="240" w:after="60"/>
    </w:pPr>
    <w:rPr>
      <w:b/>
      <w:bCs/>
    </w:rPr>
  </w:style>
  <w:style w:type="character" w:customStyle="1" w:styleId="AqpNadpisTabChar">
    <w:name w:val="AqpNadpisTab Char"/>
    <w:basedOn w:val="Standardnpsmoodstavce"/>
    <w:link w:val="AqpNadpisTab"/>
    <w:uiPriority w:val="99"/>
    <w:locked/>
    <w:rsid w:val="00D4141C"/>
    <w:rPr>
      <w:rFonts w:ascii="Arial" w:hAnsi="Arial" w:cs="Arial"/>
      <w:b/>
      <w:bCs/>
      <w:lang w:val="cs-CZ" w:eastAsia="cs-CZ"/>
    </w:rPr>
  </w:style>
  <w:style w:type="paragraph" w:styleId="Zhlav">
    <w:name w:val="header"/>
    <w:basedOn w:val="Normln"/>
    <w:link w:val="ZhlavChar"/>
    <w:uiPriority w:val="99"/>
    <w:rsid w:val="0044023A"/>
    <w:pPr>
      <w:tabs>
        <w:tab w:val="right" w:pos="8505"/>
      </w:tabs>
    </w:pPr>
    <w:rPr>
      <w:sz w:val="18"/>
      <w:szCs w:val="18"/>
    </w:rPr>
  </w:style>
  <w:style w:type="character" w:customStyle="1" w:styleId="ZhlavChar">
    <w:name w:val="Záhlaví Char"/>
    <w:basedOn w:val="Standardnpsmoodstavce"/>
    <w:link w:val="Zhlav"/>
    <w:uiPriority w:val="99"/>
    <w:semiHidden/>
    <w:locked/>
    <w:rsid w:val="00ED4574"/>
    <w:rPr>
      <w:rFonts w:ascii="Arial" w:hAnsi="Arial" w:cs="Arial"/>
      <w:sz w:val="20"/>
      <w:szCs w:val="20"/>
    </w:rPr>
  </w:style>
  <w:style w:type="paragraph" w:styleId="Zpat">
    <w:name w:val="footer"/>
    <w:basedOn w:val="Normln"/>
    <w:link w:val="ZpatChar"/>
    <w:uiPriority w:val="99"/>
    <w:rsid w:val="00E30C10"/>
    <w:pPr>
      <w:tabs>
        <w:tab w:val="right" w:pos="8505"/>
      </w:tabs>
    </w:pPr>
    <w:rPr>
      <w:sz w:val="18"/>
      <w:szCs w:val="18"/>
    </w:rPr>
  </w:style>
  <w:style w:type="character" w:customStyle="1" w:styleId="ZpatChar">
    <w:name w:val="Zápatí Char"/>
    <w:basedOn w:val="Standardnpsmoodstavce"/>
    <w:link w:val="Zpat"/>
    <w:uiPriority w:val="99"/>
    <w:semiHidden/>
    <w:locked/>
    <w:rsid w:val="00ED4574"/>
    <w:rPr>
      <w:rFonts w:ascii="Arial" w:hAnsi="Arial" w:cs="Arial"/>
      <w:sz w:val="20"/>
      <w:szCs w:val="20"/>
    </w:rPr>
  </w:style>
  <w:style w:type="paragraph" w:styleId="Rozloendokumentu">
    <w:name w:val="Document Map"/>
    <w:basedOn w:val="Normln"/>
    <w:link w:val="RozloendokumentuChar"/>
    <w:uiPriority w:val="99"/>
    <w:semiHidden/>
    <w:rsid w:val="00987167"/>
    <w:pPr>
      <w:shd w:val="clear" w:color="auto" w:fill="000080"/>
    </w:pPr>
    <w:rPr>
      <w:rFonts w:ascii="Tahoma" w:hAnsi="Tahoma" w:cs="Tahoma"/>
    </w:rPr>
  </w:style>
  <w:style w:type="character" w:customStyle="1" w:styleId="RozloendokumentuChar">
    <w:name w:val="Rozložení dokumentu Char"/>
    <w:basedOn w:val="Standardnpsmoodstavce"/>
    <w:link w:val="Rozloendokumentu"/>
    <w:uiPriority w:val="99"/>
    <w:semiHidden/>
    <w:locked/>
    <w:rsid w:val="00ED4574"/>
    <w:rPr>
      <w:rFonts w:cs="Times New Roman"/>
      <w:sz w:val="2"/>
      <w:szCs w:val="2"/>
    </w:rPr>
  </w:style>
  <w:style w:type="paragraph" w:customStyle="1" w:styleId="AqpLegenda">
    <w:name w:val="AqpLegenda"/>
    <w:basedOn w:val="Normln"/>
    <w:uiPriority w:val="99"/>
    <w:rsid w:val="005B5685"/>
    <w:pPr>
      <w:tabs>
        <w:tab w:val="left" w:pos="357"/>
      </w:tabs>
      <w:spacing w:before="60"/>
      <w:ind w:left="357" w:hanging="357"/>
    </w:pPr>
  </w:style>
  <w:style w:type="paragraph" w:customStyle="1" w:styleId="AqpTabulka">
    <w:name w:val="AqpTabulka"/>
    <w:basedOn w:val="Normln"/>
    <w:uiPriority w:val="99"/>
    <w:rsid w:val="006B0D94"/>
    <w:pPr>
      <w:keepLines/>
      <w:spacing w:before="20" w:after="20"/>
    </w:pPr>
  </w:style>
  <w:style w:type="character" w:customStyle="1" w:styleId="AqpKurziva">
    <w:name w:val="AqpKurziva"/>
    <w:basedOn w:val="Standardnpsmoodstavce"/>
    <w:uiPriority w:val="99"/>
    <w:rsid w:val="003B113F"/>
    <w:rPr>
      <w:rFonts w:cs="Times New Roman"/>
      <w:i/>
      <w:iCs/>
    </w:rPr>
  </w:style>
  <w:style w:type="character" w:customStyle="1" w:styleId="AqpTuKurz">
    <w:name w:val="AqpTučKurz"/>
    <w:basedOn w:val="Standardnpsmoodstavce"/>
    <w:uiPriority w:val="99"/>
    <w:rsid w:val="003B113F"/>
    <w:rPr>
      <w:rFonts w:cs="Times New Roman"/>
      <w:b/>
      <w:bCs/>
      <w:i/>
      <w:iCs/>
      <w:u w:val="none"/>
    </w:rPr>
  </w:style>
  <w:style w:type="paragraph" w:customStyle="1" w:styleId="AqpNadpis7">
    <w:name w:val="AqpNadpis7"/>
    <w:basedOn w:val="Normln"/>
    <w:next w:val="AqpText"/>
    <w:uiPriority w:val="99"/>
    <w:rsid w:val="00987167"/>
    <w:pPr>
      <w:keepNext/>
      <w:spacing w:before="180" w:after="60"/>
      <w:outlineLvl w:val="6"/>
    </w:pPr>
    <w:rPr>
      <w:i/>
      <w:iCs/>
    </w:rPr>
  </w:style>
  <w:style w:type="paragraph" w:customStyle="1" w:styleId="AqpPodnadpis">
    <w:name w:val="AqpPodnadpis"/>
    <w:basedOn w:val="Normln"/>
    <w:next w:val="AqpText"/>
    <w:uiPriority w:val="99"/>
    <w:rsid w:val="00990FA7"/>
    <w:pPr>
      <w:keepNext/>
      <w:spacing w:before="240" w:after="60"/>
      <w:outlineLvl w:val="1"/>
    </w:pPr>
    <w:rPr>
      <w:b/>
      <w:bCs/>
    </w:rPr>
  </w:style>
  <w:style w:type="paragraph" w:styleId="Obsah6">
    <w:name w:val="toc 6"/>
    <w:basedOn w:val="Normln"/>
    <w:next w:val="Normln"/>
    <w:autoRedefine/>
    <w:uiPriority w:val="99"/>
    <w:semiHidden/>
    <w:rsid w:val="00987167"/>
    <w:pPr>
      <w:ind w:left="737"/>
    </w:pPr>
  </w:style>
  <w:style w:type="paragraph" w:styleId="Textbubliny">
    <w:name w:val="Balloon Text"/>
    <w:basedOn w:val="Normln"/>
    <w:link w:val="TextbublinyChar"/>
    <w:uiPriority w:val="99"/>
    <w:semiHidden/>
    <w:rsid w:val="00987167"/>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ED4574"/>
    <w:rPr>
      <w:rFonts w:cs="Times New Roman"/>
      <w:sz w:val="2"/>
      <w:szCs w:val="2"/>
    </w:rPr>
  </w:style>
  <w:style w:type="paragraph" w:styleId="Obsah1">
    <w:name w:val="toc 1"/>
    <w:basedOn w:val="Normln"/>
    <w:next w:val="Normln"/>
    <w:autoRedefine/>
    <w:uiPriority w:val="39"/>
    <w:rsid w:val="00077C09"/>
    <w:pPr>
      <w:spacing w:before="240" w:after="120"/>
      <w:ind w:left="567" w:hanging="567"/>
    </w:pPr>
    <w:rPr>
      <w:b/>
      <w:bCs/>
      <w:color w:val="006699"/>
    </w:rPr>
  </w:style>
  <w:style w:type="paragraph" w:styleId="Obsah2">
    <w:name w:val="toc 2"/>
    <w:basedOn w:val="Normln"/>
    <w:next w:val="Normln"/>
    <w:autoRedefine/>
    <w:uiPriority w:val="39"/>
    <w:rsid w:val="00786362"/>
    <w:pPr>
      <w:tabs>
        <w:tab w:val="left" w:pos="851"/>
        <w:tab w:val="right" w:leader="dot" w:pos="9627"/>
      </w:tabs>
      <w:spacing w:before="120"/>
      <w:ind w:left="340"/>
    </w:pPr>
    <w:rPr>
      <w:noProof/>
    </w:rPr>
  </w:style>
  <w:style w:type="paragraph" w:styleId="Obsah3">
    <w:name w:val="toc 3"/>
    <w:basedOn w:val="Normln"/>
    <w:next w:val="Normln"/>
    <w:autoRedefine/>
    <w:uiPriority w:val="39"/>
    <w:rsid w:val="00786362"/>
    <w:pPr>
      <w:spacing w:before="60"/>
      <w:ind w:left="567"/>
    </w:pPr>
  </w:style>
  <w:style w:type="character" w:styleId="Hypertextovodkaz">
    <w:name w:val="Hyperlink"/>
    <w:basedOn w:val="Standardnpsmoodstavce"/>
    <w:uiPriority w:val="99"/>
    <w:rsid w:val="00987167"/>
    <w:rPr>
      <w:rFonts w:cs="Times New Roman"/>
      <w:color w:val="0000FF"/>
      <w:u w:val="single"/>
    </w:rPr>
  </w:style>
  <w:style w:type="paragraph" w:styleId="Obsah4">
    <w:name w:val="toc 4"/>
    <w:basedOn w:val="Normln"/>
    <w:next w:val="Normln"/>
    <w:autoRedefine/>
    <w:uiPriority w:val="99"/>
    <w:semiHidden/>
    <w:rsid w:val="00987167"/>
    <w:pPr>
      <w:spacing w:before="20"/>
      <w:ind w:left="680"/>
    </w:pPr>
    <w:rPr>
      <w:rFonts w:cs="Arial Narrow"/>
    </w:rPr>
  </w:style>
  <w:style w:type="paragraph" w:styleId="Obsah5">
    <w:name w:val="toc 5"/>
    <w:basedOn w:val="Normln"/>
    <w:next w:val="Normln"/>
    <w:autoRedefine/>
    <w:uiPriority w:val="99"/>
    <w:semiHidden/>
    <w:rsid w:val="00987167"/>
    <w:pPr>
      <w:ind w:left="709"/>
    </w:pPr>
  </w:style>
  <w:style w:type="paragraph" w:styleId="Rejstk1">
    <w:name w:val="index 1"/>
    <w:basedOn w:val="Normln"/>
    <w:next w:val="Normln"/>
    <w:autoRedefine/>
    <w:uiPriority w:val="99"/>
    <w:semiHidden/>
    <w:rsid w:val="00987167"/>
    <w:pPr>
      <w:ind w:left="240" w:hanging="240"/>
    </w:pPr>
  </w:style>
  <w:style w:type="paragraph" w:styleId="Obsah7">
    <w:name w:val="toc 7"/>
    <w:basedOn w:val="Normln"/>
    <w:next w:val="Normln"/>
    <w:autoRedefine/>
    <w:uiPriority w:val="99"/>
    <w:semiHidden/>
    <w:rsid w:val="00987167"/>
    <w:pPr>
      <w:ind w:left="1440"/>
    </w:pPr>
  </w:style>
  <w:style w:type="paragraph" w:styleId="Obsah8">
    <w:name w:val="toc 8"/>
    <w:basedOn w:val="Normln"/>
    <w:next w:val="Normln"/>
    <w:autoRedefine/>
    <w:uiPriority w:val="99"/>
    <w:semiHidden/>
    <w:rsid w:val="00987167"/>
    <w:pPr>
      <w:ind w:left="1680"/>
    </w:pPr>
  </w:style>
  <w:style w:type="paragraph" w:styleId="Obsah9">
    <w:name w:val="toc 9"/>
    <w:basedOn w:val="Normln"/>
    <w:next w:val="Normln"/>
    <w:autoRedefine/>
    <w:uiPriority w:val="99"/>
    <w:semiHidden/>
    <w:rsid w:val="00987167"/>
    <w:pPr>
      <w:ind w:left="1920"/>
    </w:pPr>
  </w:style>
  <w:style w:type="paragraph" w:styleId="FormtovanvHTML">
    <w:name w:val="HTML Preformatted"/>
    <w:basedOn w:val="Normln"/>
    <w:link w:val="FormtovanvHTMLChar"/>
    <w:uiPriority w:val="99"/>
    <w:rsid w:val="00987167"/>
    <w:rPr>
      <w:rFonts w:ascii="Courier New" w:hAnsi="Courier New" w:cs="Courier New"/>
    </w:rPr>
  </w:style>
  <w:style w:type="character" w:customStyle="1" w:styleId="FormtovanvHTMLChar">
    <w:name w:val="Formátovaný v HTML Char"/>
    <w:basedOn w:val="Standardnpsmoodstavce"/>
    <w:link w:val="FormtovanvHTML"/>
    <w:uiPriority w:val="99"/>
    <w:semiHidden/>
    <w:locked/>
    <w:rsid w:val="00ED4574"/>
    <w:rPr>
      <w:rFonts w:ascii="Courier New" w:hAnsi="Courier New" w:cs="Courier New"/>
      <w:sz w:val="20"/>
      <w:szCs w:val="20"/>
    </w:rPr>
  </w:style>
  <w:style w:type="paragraph" w:styleId="Hlavikaobsahu">
    <w:name w:val="toa heading"/>
    <w:basedOn w:val="Normln"/>
    <w:next w:val="Normln"/>
    <w:uiPriority w:val="99"/>
    <w:semiHidden/>
    <w:rsid w:val="00987167"/>
    <w:pPr>
      <w:spacing w:before="120"/>
    </w:pPr>
    <w:rPr>
      <w:b/>
      <w:bCs/>
    </w:rPr>
  </w:style>
  <w:style w:type="paragraph" w:styleId="Hlavikarejstku">
    <w:name w:val="index heading"/>
    <w:basedOn w:val="Normln"/>
    <w:next w:val="Rejstk1"/>
    <w:uiPriority w:val="99"/>
    <w:semiHidden/>
    <w:rsid w:val="00987167"/>
    <w:rPr>
      <w:b/>
      <w:bCs/>
    </w:rPr>
  </w:style>
  <w:style w:type="paragraph" w:styleId="Nadpispoznmky">
    <w:name w:val="Note Heading"/>
    <w:basedOn w:val="Normln"/>
    <w:next w:val="Normln"/>
    <w:link w:val="NadpispoznmkyChar"/>
    <w:uiPriority w:val="99"/>
    <w:rsid w:val="00987167"/>
  </w:style>
  <w:style w:type="character" w:customStyle="1" w:styleId="NadpispoznmkyChar">
    <w:name w:val="Nadpis poznámky Char"/>
    <w:basedOn w:val="Standardnpsmoodstavce"/>
    <w:link w:val="Nadpispoznmky"/>
    <w:uiPriority w:val="99"/>
    <w:semiHidden/>
    <w:locked/>
    <w:rsid w:val="00ED4574"/>
    <w:rPr>
      <w:rFonts w:ascii="Arial" w:hAnsi="Arial" w:cs="Arial"/>
      <w:sz w:val="20"/>
      <w:szCs w:val="20"/>
    </w:rPr>
  </w:style>
  <w:style w:type="paragraph" w:styleId="Nzev">
    <w:name w:val="Title"/>
    <w:basedOn w:val="Normln"/>
    <w:link w:val="NzevChar"/>
    <w:uiPriority w:val="99"/>
    <w:qFormat/>
    <w:rsid w:val="00987167"/>
    <w:pPr>
      <w:spacing w:before="240" w:after="60"/>
      <w:jc w:val="center"/>
      <w:outlineLvl w:val="0"/>
    </w:pPr>
    <w:rPr>
      <w:b/>
      <w:bCs/>
      <w:kern w:val="28"/>
      <w:sz w:val="32"/>
      <w:szCs w:val="32"/>
    </w:rPr>
  </w:style>
  <w:style w:type="character" w:customStyle="1" w:styleId="NzevChar">
    <w:name w:val="Název Char"/>
    <w:basedOn w:val="Standardnpsmoodstavce"/>
    <w:link w:val="Nzev"/>
    <w:uiPriority w:val="99"/>
    <w:locked/>
    <w:rsid w:val="00ED4574"/>
    <w:rPr>
      <w:rFonts w:ascii="Cambria" w:hAnsi="Cambria" w:cs="Cambria"/>
      <w:b/>
      <w:bCs/>
      <w:kern w:val="28"/>
      <w:sz w:val="32"/>
      <w:szCs w:val="32"/>
    </w:rPr>
  </w:style>
  <w:style w:type="paragraph" w:styleId="Normlnweb">
    <w:name w:val="Normal (Web)"/>
    <w:basedOn w:val="Normln"/>
    <w:uiPriority w:val="99"/>
    <w:rsid w:val="00987167"/>
  </w:style>
  <w:style w:type="paragraph" w:styleId="Osloven">
    <w:name w:val="Salutation"/>
    <w:basedOn w:val="Normln"/>
    <w:next w:val="Normln"/>
    <w:link w:val="OslovenChar"/>
    <w:uiPriority w:val="99"/>
    <w:rsid w:val="00987167"/>
  </w:style>
  <w:style w:type="character" w:customStyle="1" w:styleId="OslovenChar">
    <w:name w:val="Oslovení Char"/>
    <w:basedOn w:val="Standardnpsmoodstavce"/>
    <w:link w:val="Osloven"/>
    <w:uiPriority w:val="99"/>
    <w:semiHidden/>
    <w:locked/>
    <w:rsid w:val="00ED4574"/>
    <w:rPr>
      <w:rFonts w:ascii="Arial" w:hAnsi="Arial" w:cs="Arial"/>
      <w:sz w:val="20"/>
      <w:szCs w:val="20"/>
    </w:rPr>
  </w:style>
  <w:style w:type="paragraph" w:styleId="Podpis">
    <w:name w:val="Signature"/>
    <w:basedOn w:val="Normln"/>
    <w:link w:val="PodpisChar"/>
    <w:uiPriority w:val="99"/>
    <w:rsid w:val="00987167"/>
    <w:pPr>
      <w:ind w:left="4252"/>
    </w:pPr>
  </w:style>
  <w:style w:type="character" w:customStyle="1" w:styleId="PodpisChar">
    <w:name w:val="Podpis Char"/>
    <w:basedOn w:val="Standardnpsmoodstavce"/>
    <w:link w:val="Podpis"/>
    <w:uiPriority w:val="99"/>
    <w:semiHidden/>
    <w:locked/>
    <w:rsid w:val="00ED4574"/>
    <w:rPr>
      <w:rFonts w:ascii="Arial" w:hAnsi="Arial" w:cs="Arial"/>
      <w:sz w:val="20"/>
      <w:szCs w:val="20"/>
    </w:rPr>
  </w:style>
  <w:style w:type="paragraph" w:styleId="Podpise-mailu">
    <w:name w:val="E-mail Signature"/>
    <w:basedOn w:val="Normln"/>
    <w:link w:val="Podpise-mailuChar"/>
    <w:uiPriority w:val="99"/>
    <w:rsid w:val="00987167"/>
  </w:style>
  <w:style w:type="character" w:customStyle="1" w:styleId="Podpise-mailuChar">
    <w:name w:val="Podpis e-mailu Char"/>
    <w:basedOn w:val="Standardnpsmoodstavce"/>
    <w:link w:val="Podpise-mailu"/>
    <w:uiPriority w:val="99"/>
    <w:semiHidden/>
    <w:locked/>
    <w:rsid w:val="00ED4574"/>
    <w:rPr>
      <w:rFonts w:ascii="Arial" w:hAnsi="Arial" w:cs="Arial"/>
      <w:sz w:val="20"/>
      <w:szCs w:val="20"/>
    </w:rPr>
  </w:style>
  <w:style w:type="paragraph" w:styleId="Pokraovnseznamu">
    <w:name w:val="List Continue"/>
    <w:basedOn w:val="Normln"/>
    <w:uiPriority w:val="99"/>
    <w:rsid w:val="00987167"/>
    <w:pPr>
      <w:spacing w:after="120"/>
      <w:ind w:left="283"/>
    </w:pPr>
  </w:style>
  <w:style w:type="paragraph" w:styleId="Pokraovnseznamu2">
    <w:name w:val="List Continue 2"/>
    <w:basedOn w:val="Normln"/>
    <w:uiPriority w:val="99"/>
    <w:rsid w:val="00987167"/>
    <w:pPr>
      <w:spacing w:after="120"/>
      <w:ind w:left="566"/>
    </w:pPr>
  </w:style>
  <w:style w:type="paragraph" w:styleId="Pokraovnseznamu3">
    <w:name w:val="List Continue 3"/>
    <w:basedOn w:val="Normln"/>
    <w:uiPriority w:val="99"/>
    <w:rsid w:val="00987167"/>
    <w:pPr>
      <w:spacing w:after="120"/>
      <w:ind w:left="849"/>
    </w:pPr>
  </w:style>
  <w:style w:type="paragraph" w:styleId="Pokraovnseznamu4">
    <w:name w:val="List Continue 4"/>
    <w:basedOn w:val="Normln"/>
    <w:uiPriority w:val="99"/>
    <w:rsid w:val="00987167"/>
    <w:pPr>
      <w:spacing w:after="120"/>
      <w:ind w:left="1132"/>
    </w:pPr>
  </w:style>
  <w:style w:type="paragraph" w:styleId="Pokraovnseznamu5">
    <w:name w:val="List Continue 5"/>
    <w:basedOn w:val="Normln"/>
    <w:uiPriority w:val="99"/>
    <w:rsid w:val="00987167"/>
    <w:pPr>
      <w:spacing w:after="120"/>
      <w:ind w:left="1415"/>
    </w:pPr>
  </w:style>
  <w:style w:type="paragraph" w:styleId="Textkomente">
    <w:name w:val="annotation text"/>
    <w:basedOn w:val="Normln"/>
    <w:link w:val="TextkomenteChar"/>
    <w:uiPriority w:val="99"/>
    <w:semiHidden/>
    <w:rsid w:val="00987167"/>
  </w:style>
  <w:style w:type="character" w:customStyle="1" w:styleId="TextkomenteChar">
    <w:name w:val="Text komentáře Char"/>
    <w:basedOn w:val="Standardnpsmoodstavce"/>
    <w:link w:val="Textkomente"/>
    <w:uiPriority w:val="99"/>
    <w:semiHidden/>
    <w:locked/>
    <w:rsid w:val="00ED4574"/>
    <w:rPr>
      <w:rFonts w:ascii="Arial" w:hAnsi="Arial" w:cs="Arial"/>
      <w:sz w:val="20"/>
      <w:szCs w:val="20"/>
    </w:rPr>
  </w:style>
  <w:style w:type="paragraph" w:styleId="Pedmtkomente">
    <w:name w:val="annotation subject"/>
    <w:basedOn w:val="Textkomente"/>
    <w:next w:val="Textkomente"/>
    <w:link w:val="PedmtkomenteChar"/>
    <w:uiPriority w:val="99"/>
    <w:semiHidden/>
    <w:rsid w:val="00987167"/>
    <w:rPr>
      <w:b/>
      <w:bCs/>
    </w:rPr>
  </w:style>
  <w:style w:type="character" w:customStyle="1" w:styleId="PedmtkomenteChar">
    <w:name w:val="Předmět komentáře Char"/>
    <w:basedOn w:val="TextkomenteChar"/>
    <w:link w:val="Pedmtkomente"/>
    <w:uiPriority w:val="99"/>
    <w:semiHidden/>
    <w:locked/>
    <w:rsid w:val="00ED4574"/>
    <w:rPr>
      <w:rFonts w:ascii="Arial" w:hAnsi="Arial" w:cs="Arial"/>
      <w:b/>
      <w:bCs/>
      <w:sz w:val="20"/>
      <w:szCs w:val="20"/>
    </w:rPr>
  </w:style>
  <w:style w:type="paragraph" w:styleId="Rejstk2">
    <w:name w:val="index 2"/>
    <w:basedOn w:val="Normln"/>
    <w:next w:val="Normln"/>
    <w:autoRedefine/>
    <w:uiPriority w:val="99"/>
    <w:semiHidden/>
    <w:rsid w:val="00987167"/>
    <w:pPr>
      <w:ind w:left="480" w:hanging="240"/>
    </w:pPr>
  </w:style>
  <w:style w:type="paragraph" w:styleId="Rejstk3">
    <w:name w:val="index 3"/>
    <w:basedOn w:val="Normln"/>
    <w:next w:val="Normln"/>
    <w:autoRedefine/>
    <w:uiPriority w:val="99"/>
    <w:semiHidden/>
    <w:rsid w:val="00987167"/>
    <w:pPr>
      <w:ind w:left="720" w:hanging="240"/>
    </w:pPr>
  </w:style>
  <w:style w:type="paragraph" w:styleId="Rejstk4">
    <w:name w:val="index 4"/>
    <w:basedOn w:val="Normln"/>
    <w:next w:val="Normln"/>
    <w:autoRedefine/>
    <w:uiPriority w:val="99"/>
    <w:semiHidden/>
    <w:rsid w:val="00987167"/>
    <w:pPr>
      <w:ind w:left="960" w:hanging="240"/>
    </w:pPr>
  </w:style>
  <w:style w:type="paragraph" w:styleId="Rejstk5">
    <w:name w:val="index 5"/>
    <w:basedOn w:val="Normln"/>
    <w:next w:val="Normln"/>
    <w:autoRedefine/>
    <w:uiPriority w:val="99"/>
    <w:semiHidden/>
    <w:rsid w:val="00987167"/>
    <w:pPr>
      <w:ind w:left="1200" w:hanging="240"/>
    </w:pPr>
  </w:style>
  <w:style w:type="paragraph" w:styleId="Rejstk6">
    <w:name w:val="index 6"/>
    <w:basedOn w:val="Normln"/>
    <w:next w:val="Normln"/>
    <w:autoRedefine/>
    <w:uiPriority w:val="99"/>
    <w:semiHidden/>
    <w:rsid w:val="00987167"/>
    <w:pPr>
      <w:ind w:left="1440" w:hanging="240"/>
    </w:pPr>
  </w:style>
  <w:style w:type="paragraph" w:styleId="Rejstk7">
    <w:name w:val="index 7"/>
    <w:basedOn w:val="Normln"/>
    <w:next w:val="Normln"/>
    <w:autoRedefine/>
    <w:uiPriority w:val="99"/>
    <w:semiHidden/>
    <w:rsid w:val="00987167"/>
    <w:pPr>
      <w:ind w:left="1680" w:hanging="240"/>
    </w:pPr>
  </w:style>
  <w:style w:type="paragraph" w:styleId="Rejstk8">
    <w:name w:val="index 8"/>
    <w:basedOn w:val="Normln"/>
    <w:next w:val="Normln"/>
    <w:autoRedefine/>
    <w:uiPriority w:val="99"/>
    <w:semiHidden/>
    <w:rsid w:val="00987167"/>
    <w:pPr>
      <w:ind w:left="1920" w:hanging="240"/>
    </w:pPr>
  </w:style>
  <w:style w:type="paragraph" w:styleId="Rejstk9">
    <w:name w:val="index 9"/>
    <w:basedOn w:val="Normln"/>
    <w:next w:val="Normln"/>
    <w:autoRedefine/>
    <w:uiPriority w:val="99"/>
    <w:semiHidden/>
    <w:rsid w:val="00987167"/>
    <w:pPr>
      <w:ind w:left="2160" w:hanging="240"/>
    </w:pPr>
  </w:style>
  <w:style w:type="paragraph" w:styleId="Seznam">
    <w:name w:val="List"/>
    <w:basedOn w:val="Normln"/>
    <w:uiPriority w:val="99"/>
    <w:rsid w:val="00987167"/>
    <w:pPr>
      <w:ind w:left="283" w:hanging="283"/>
    </w:pPr>
  </w:style>
  <w:style w:type="paragraph" w:styleId="Seznam2">
    <w:name w:val="List 2"/>
    <w:basedOn w:val="Normln"/>
    <w:uiPriority w:val="99"/>
    <w:rsid w:val="00987167"/>
    <w:pPr>
      <w:ind w:left="566" w:hanging="283"/>
    </w:pPr>
  </w:style>
  <w:style w:type="paragraph" w:styleId="Seznam3">
    <w:name w:val="List 3"/>
    <w:basedOn w:val="Normln"/>
    <w:uiPriority w:val="99"/>
    <w:rsid w:val="00987167"/>
    <w:pPr>
      <w:ind w:left="849" w:hanging="283"/>
    </w:pPr>
  </w:style>
  <w:style w:type="paragraph" w:styleId="Seznam4">
    <w:name w:val="List 4"/>
    <w:basedOn w:val="Normln"/>
    <w:uiPriority w:val="99"/>
    <w:rsid w:val="00987167"/>
    <w:pPr>
      <w:ind w:left="1132" w:hanging="283"/>
    </w:pPr>
  </w:style>
  <w:style w:type="paragraph" w:styleId="Seznam5">
    <w:name w:val="List 5"/>
    <w:basedOn w:val="Normln"/>
    <w:uiPriority w:val="99"/>
    <w:rsid w:val="00987167"/>
    <w:pPr>
      <w:ind w:left="1415" w:hanging="283"/>
    </w:pPr>
  </w:style>
  <w:style w:type="paragraph" w:styleId="Seznamcitac">
    <w:name w:val="table of authorities"/>
    <w:basedOn w:val="Normln"/>
    <w:next w:val="Normln"/>
    <w:uiPriority w:val="99"/>
    <w:semiHidden/>
    <w:rsid w:val="00987167"/>
    <w:pPr>
      <w:ind w:left="240" w:hanging="240"/>
    </w:pPr>
  </w:style>
  <w:style w:type="paragraph" w:styleId="Seznamobrzk">
    <w:name w:val="table of figures"/>
    <w:basedOn w:val="Normln"/>
    <w:next w:val="Normln"/>
    <w:uiPriority w:val="99"/>
    <w:semiHidden/>
    <w:rsid w:val="00987167"/>
  </w:style>
  <w:style w:type="paragraph" w:styleId="Seznamsodrkami">
    <w:name w:val="List Bullet"/>
    <w:basedOn w:val="Normln"/>
    <w:uiPriority w:val="99"/>
    <w:rsid w:val="00987167"/>
    <w:pPr>
      <w:numPr>
        <w:numId w:val="1"/>
      </w:numPr>
    </w:pPr>
  </w:style>
  <w:style w:type="paragraph" w:styleId="Seznamsodrkami2">
    <w:name w:val="List Bullet 2"/>
    <w:basedOn w:val="Normln"/>
    <w:uiPriority w:val="99"/>
    <w:rsid w:val="00987167"/>
    <w:pPr>
      <w:numPr>
        <w:numId w:val="2"/>
      </w:numPr>
    </w:pPr>
  </w:style>
  <w:style w:type="paragraph" w:styleId="Seznamsodrkami3">
    <w:name w:val="List Bullet 3"/>
    <w:basedOn w:val="Normln"/>
    <w:uiPriority w:val="99"/>
    <w:rsid w:val="00987167"/>
    <w:pPr>
      <w:numPr>
        <w:numId w:val="3"/>
      </w:numPr>
    </w:pPr>
  </w:style>
  <w:style w:type="paragraph" w:styleId="Seznamsodrkami4">
    <w:name w:val="List Bullet 4"/>
    <w:basedOn w:val="Normln"/>
    <w:uiPriority w:val="99"/>
    <w:rsid w:val="00987167"/>
    <w:pPr>
      <w:numPr>
        <w:numId w:val="4"/>
      </w:numPr>
    </w:pPr>
  </w:style>
  <w:style w:type="paragraph" w:styleId="Seznamsodrkami5">
    <w:name w:val="List Bullet 5"/>
    <w:basedOn w:val="Normln"/>
    <w:uiPriority w:val="99"/>
    <w:rsid w:val="00987167"/>
    <w:pPr>
      <w:numPr>
        <w:numId w:val="5"/>
      </w:numPr>
    </w:pPr>
  </w:style>
  <w:style w:type="paragraph" w:styleId="Textmakra">
    <w:name w:val="macro"/>
    <w:link w:val="TextmakraChar"/>
    <w:uiPriority w:val="99"/>
    <w:semiHidden/>
    <w:rsid w:val="00987167"/>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TextmakraChar">
    <w:name w:val="Text makra Char"/>
    <w:basedOn w:val="Standardnpsmoodstavce"/>
    <w:link w:val="Textmakra"/>
    <w:uiPriority w:val="99"/>
    <w:semiHidden/>
    <w:locked/>
    <w:rsid w:val="00ED4574"/>
    <w:rPr>
      <w:rFonts w:ascii="Courier New" w:hAnsi="Courier New" w:cs="Courier New"/>
      <w:lang w:val="cs-CZ" w:eastAsia="cs-CZ" w:bidi="ar-SA"/>
    </w:rPr>
  </w:style>
  <w:style w:type="paragraph" w:styleId="Textpoznpodarou">
    <w:name w:val="footnote text"/>
    <w:basedOn w:val="Normln"/>
    <w:link w:val="TextpoznpodarouChar"/>
    <w:uiPriority w:val="99"/>
    <w:semiHidden/>
    <w:rsid w:val="00987167"/>
  </w:style>
  <w:style w:type="character" w:customStyle="1" w:styleId="TextpoznpodarouChar">
    <w:name w:val="Text pozn. pod čarou Char"/>
    <w:basedOn w:val="Standardnpsmoodstavce"/>
    <w:link w:val="Textpoznpodarou"/>
    <w:uiPriority w:val="99"/>
    <w:semiHidden/>
    <w:locked/>
    <w:rsid w:val="00ED4574"/>
    <w:rPr>
      <w:rFonts w:ascii="Arial" w:hAnsi="Arial" w:cs="Arial"/>
      <w:sz w:val="20"/>
      <w:szCs w:val="20"/>
    </w:rPr>
  </w:style>
  <w:style w:type="paragraph" w:styleId="Textvbloku">
    <w:name w:val="Block Text"/>
    <w:basedOn w:val="Normln"/>
    <w:uiPriority w:val="99"/>
    <w:rsid w:val="00987167"/>
    <w:pPr>
      <w:spacing w:after="120"/>
      <w:ind w:left="1440" w:right="1440"/>
    </w:pPr>
  </w:style>
  <w:style w:type="paragraph" w:styleId="Textvysvtlivek">
    <w:name w:val="endnote text"/>
    <w:basedOn w:val="Normln"/>
    <w:link w:val="TextvysvtlivekChar"/>
    <w:uiPriority w:val="99"/>
    <w:semiHidden/>
    <w:rsid w:val="00987167"/>
  </w:style>
  <w:style w:type="character" w:customStyle="1" w:styleId="TextvysvtlivekChar">
    <w:name w:val="Text vysvětlivek Char"/>
    <w:basedOn w:val="Standardnpsmoodstavce"/>
    <w:link w:val="Textvysvtlivek"/>
    <w:uiPriority w:val="99"/>
    <w:semiHidden/>
    <w:locked/>
    <w:rsid w:val="00ED4574"/>
    <w:rPr>
      <w:rFonts w:ascii="Arial" w:hAnsi="Arial" w:cs="Arial"/>
      <w:sz w:val="20"/>
      <w:szCs w:val="20"/>
    </w:rPr>
  </w:style>
  <w:style w:type="paragraph" w:styleId="Titulek">
    <w:name w:val="caption"/>
    <w:basedOn w:val="Normln"/>
    <w:next w:val="Normln"/>
    <w:uiPriority w:val="99"/>
    <w:qFormat/>
    <w:rsid w:val="00987167"/>
    <w:rPr>
      <w:b/>
      <w:bCs/>
    </w:rPr>
  </w:style>
  <w:style w:type="paragraph" w:styleId="Zvr">
    <w:name w:val="Closing"/>
    <w:basedOn w:val="Normln"/>
    <w:link w:val="ZvrChar"/>
    <w:uiPriority w:val="99"/>
    <w:rsid w:val="00987167"/>
    <w:pPr>
      <w:ind w:left="4252"/>
    </w:pPr>
  </w:style>
  <w:style w:type="character" w:customStyle="1" w:styleId="ZvrChar">
    <w:name w:val="Závěr Char"/>
    <w:basedOn w:val="Standardnpsmoodstavce"/>
    <w:link w:val="Zvr"/>
    <w:uiPriority w:val="99"/>
    <w:semiHidden/>
    <w:locked/>
    <w:rsid w:val="00ED4574"/>
    <w:rPr>
      <w:rFonts w:ascii="Arial" w:hAnsi="Arial" w:cs="Arial"/>
      <w:sz w:val="20"/>
      <w:szCs w:val="20"/>
    </w:rPr>
  </w:style>
  <w:style w:type="paragraph" w:styleId="Zptenadresanaoblku">
    <w:name w:val="envelope return"/>
    <w:basedOn w:val="Normln"/>
    <w:uiPriority w:val="99"/>
    <w:rsid w:val="00987167"/>
  </w:style>
  <w:style w:type="paragraph" w:customStyle="1" w:styleId="Koment">
    <w:name w:val="Komentář"/>
    <w:basedOn w:val="Normln"/>
    <w:uiPriority w:val="99"/>
    <w:rsid w:val="00987167"/>
    <w:pPr>
      <w:spacing w:before="120"/>
      <w:jc w:val="both"/>
    </w:pPr>
    <w:rPr>
      <w:rFonts w:cs="Arial Narrow"/>
      <w:i/>
      <w:iCs/>
      <w:color w:val="FF0000"/>
    </w:rPr>
  </w:style>
  <w:style w:type="character" w:styleId="Odkaznakoment">
    <w:name w:val="annotation reference"/>
    <w:basedOn w:val="Standardnpsmoodstavce"/>
    <w:uiPriority w:val="99"/>
    <w:semiHidden/>
    <w:rsid w:val="00987167"/>
    <w:rPr>
      <w:rFonts w:cs="Times New Roman"/>
      <w:sz w:val="16"/>
      <w:szCs w:val="16"/>
    </w:rPr>
  </w:style>
  <w:style w:type="paragraph" w:customStyle="1" w:styleId="NadpisPodkapitoly2">
    <w:name w:val="NadpisPodkapitoly2"/>
    <w:basedOn w:val="Normln"/>
    <w:next w:val="Normln"/>
    <w:uiPriority w:val="99"/>
    <w:rsid w:val="000C4B02"/>
    <w:pPr>
      <w:keepNext/>
      <w:spacing w:before="360" w:after="60"/>
    </w:pPr>
    <w:rPr>
      <w:u w:val="single"/>
    </w:rPr>
  </w:style>
  <w:style w:type="character" w:styleId="Sledovanodkaz">
    <w:name w:val="FollowedHyperlink"/>
    <w:basedOn w:val="Standardnpsmoodstavce"/>
    <w:uiPriority w:val="99"/>
    <w:rsid w:val="00987167"/>
    <w:rPr>
      <w:rFonts w:cs="Times New Roman"/>
      <w:color w:val="800080"/>
      <w:u w:val="single"/>
    </w:rPr>
  </w:style>
  <w:style w:type="table" w:styleId="Mkatabulky">
    <w:name w:val="Table Grid"/>
    <w:basedOn w:val="Normlntabulka"/>
    <w:uiPriority w:val="99"/>
    <w:rsid w:val="00353EDD"/>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pisektabulky">
    <w:name w:val="Popisek tabulky"/>
    <w:basedOn w:val="Normln"/>
    <w:uiPriority w:val="99"/>
    <w:rsid w:val="0006587E"/>
    <w:rPr>
      <w:i/>
      <w:iCs/>
      <w:sz w:val="14"/>
      <w:szCs w:val="14"/>
    </w:rPr>
  </w:style>
  <w:style w:type="paragraph" w:customStyle="1" w:styleId="dajtabulky">
    <w:name w:val="Údaj tabulky"/>
    <w:basedOn w:val="Normln"/>
    <w:uiPriority w:val="99"/>
    <w:rsid w:val="0006587E"/>
    <w:rPr>
      <w:sz w:val="18"/>
      <w:szCs w:val="18"/>
    </w:rPr>
  </w:style>
  <w:style w:type="paragraph" w:customStyle="1" w:styleId="Firma">
    <w:name w:val="Firma"/>
    <w:basedOn w:val="dajtabulky"/>
    <w:uiPriority w:val="99"/>
    <w:rsid w:val="0046155E"/>
  </w:style>
  <w:style w:type="paragraph" w:customStyle="1" w:styleId="Souprava">
    <w:name w:val="Souprava"/>
    <w:uiPriority w:val="99"/>
    <w:rsid w:val="009C7991"/>
    <w:pPr>
      <w:jc w:val="center"/>
    </w:pPr>
    <w:rPr>
      <w:rFonts w:ascii="Arial" w:hAnsi="Arial" w:cs="Arial"/>
      <w:b/>
      <w:bCs/>
      <w:color w:val="99CCFF"/>
      <w:sz w:val="144"/>
      <w:szCs w:val="144"/>
    </w:rPr>
  </w:style>
  <w:style w:type="paragraph" w:customStyle="1" w:styleId="Aqpodrka1">
    <w:name w:val="Aqp_odrážka1"/>
    <w:basedOn w:val="Normln"/>
    <w:uiPriority w:val="99"/>
    <w:rsid w:val="006B0D94"/>
    <w:pPr>
      <w:numPr>
        <w:numId w:val="6"/>
      </w:numPr>
    </w:pPr>
  </w:style>
  <w:style w:type="paragraph" w:customStyle="1" w:styleId="Projekt">
    <w:name w:val="Projekt"/>
    <w:basedOn w:val="dajtabulky"/>
    <w:uiPriority w:val="99"/>
    <w:rsid w:val="00873F1F"/>
    <w:rPr>
      <w:sz w:val="28"/>
      <w:szCs w:val="28"/>
    </w:rPr>
  </w:style>
  <w:style w:type="paragraph" w:customStyle="1" w:styleId="dajtabulky10">
    <w:name w:val="Údaj tabulky 10"/>
    <w:basedOn w:val="dajtabulky"/>
    <w:uiPriority w:val="99"/>
    <w:rsid w:val="00F64454"/>
    <w:rPr>
      <w:sz w:val="20"/>
      <w:szCs w:val="20"/>
    </w:rPr>
  </w:style>
  <w:style w:type="paragraph" w:customStyle="1" w:styleId="dajtabulky12">
    <w:name w:val="Údaj tabulky 12"/>
    <w:basedOn w:val="dajtabulky"/>
    <w:uiPriority w:val="99"/>
    <w:rsid w:val="00F64454"/>
    <w:rPr>
      <w:sz w:val="24"/>
      <w:szCs w:val="24"/>
    </w:rPr>
  </w:style>
  <w:style w:type="paragraph" w:customStyle="1" w:styleId="dajtabulky14">
    <w:name w:val="Údaj tabulky 14"/>
    <w:basedOn w:val="dajtabulky"/>
    <w:uiPriority w:val="99"/>
    <w:rsid w:val="00F64454"/>
    <w:pPr>
      <w:jc w:val="center"/>
    </w:pPr>
    <w:rPr>
      <w:sz w:val="28"/>
      <w:szCs w:val="28"/>
    </w:rPr>
  </w:style>
  <w:style w:type="character" w:customStyle="1" w:styleId="AqpTuPodtr">
    <w:name w:val="AqpTučPodtr"/>
    <w:basedOn w:val="Standardnpsmoodstavce"/>
    <w:uiPriority w:val="99"/>
    <w:rsid w:val="003B113F"/>
    <w:rPr>
      <w:rFonts w:cs="Times New Roman"/>
      <w:b/>
      <w:bCs/>
      <w:u w:val="single"/>
    </w:rPr>
  </w:style>
  <w:style w:type="character" w:customStyle="1" w:styleId="AqpPodtr">
    <w:name w:val="AqpPodtr"/>
    <w:basedOn w:val="Standardnpsmoodstavce"/>
    <w:uiPriority w:val="99"/>
    <w:rsid w:val="003B113F"/>
    <w:rPr>
      <w:rFonts w:cs="Times New Roman"/>
      <w:u w:val="single"/>
    </w:rPr>
  </w:style>
  <w:style w:type="paragraph" w:customStyle="1" w:styleId="Aqpslovn">
    <w:name w:val="Aqp_číslování"/>
    <w:basedOn w:val="Aqpodrka1"/>
    <w:uiPriority w:val="99"/>
    <w:rsid w:val="00B6302C"/>
    <w:pPr>
      <w:numPr>
        <w:numId w:val="7"/>
      </w:numPr>
      <w:tabs>
        <w:tab w:val="num" w:pos="284"/>
        <w:tab w:val="num" w:pos="432"/>
        <w:tab w:val="num" w:pos="643"/>
        <w:tab w:val="num" w:pos="926"/>
        <w:tab w:val="num" w:pos="1492"/>
      </w:tabs>
      <w:ind w:left="432" w:hanging="432"/>
    </w:pPr>
  </w:style>
  <w:style w:type="character" w:customStyle="1" w:styleId="Styl1">
    <w:name w:val="Styl1"/>
    <w:basedOn w:val="Standardnpsmoodstavce"/>
    <w:uiPriority w:val="99"/>
    <w:rsid w:val="003B113F"/>
    <w:rPr>
      <w:rFonts w:cs="Times New Roman"/>
      <w:i/>
      <w:iCs/>
    </w:rPr>
  </w:style>
  <w:style w:type="character" w:customStyle="1" w:styleId="AqpTu">
    <w:name w:val="AqpTuč"/>
    <w:basedOn w:val="Standardnpsmoodstavce"/>
    <w:uiPriority w:val="99"/>
    <w:rsid w:val="003B113F"/>
    <w:rPr>
      <w:rFonts w:cs="Times New Roman"/>
      <w:b/>
      <w:bCs/>
    </w:rPr>
  </w:style>
  <w:style w:type="numbering" w:customStyle="1" w:styleId="StylVcerovov14bTunVlastnbarvaRGB0">
    <w:name w:val="Styl Víceúrovňové 14 b. Tučné Vlastní barva(RGB(0"/>
    <w:aliases w:val="102,153))"/>
    <w:rsid w:val="007140FB"/>
    <w:pPr>
      <w:numPr>
        <w:numId w:val="8"/>
      </w:numPr>
    </w:pPr>
  </w:style>
  <w:style w:type="paragraph" w:styleId="Odstavecseseznamem">
    <w:name w:val="List Paragraph"/>
    <w:basedOn w:val="Normln"/>
    <w:uiPriority w:val="34"/>
    <w:qFormat/>
    <w:rsid w:val="0030632D"/>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6415563">
      <w:bodyDiv w:val="1"/>
      <w:marLeft w:val="0"/>
      <w:marRight w:val="0"/>
      <w:marTop w:val="0"/>
      <w:marBottom w:val="0"/>
      <w:divBdr>
        <w:top w:val="none" w:sz="0" w:space="0" w:color="auto"/>
        <w:left w:val="none" w:sz="0" w:space="0" w:color="auto"/>
        <w:bottom w:val="none" w:sz="0" w:space="0" w:color="auto"/>
        <w:right w:val="none" w:sz="0" w:space="0" w:color="auto"/>
      </w:divBdr>
    </w:div>
    <w:div w:id="144322864">
      <w:bodyDiv w:val="1"/>
      <w:marLeft w:val="0"/>
      <w:marRight w:val="0"/>
      <w:marTop w:val="0"/>
      <w:marBottom w:val="0"/>
      <w:divBdr>
        <w:top w:val="none" w:sz="0" w:space="0" w:color="auto"/>
        <w:left w:val="none" w:sz="0" w:space="0" w:color="auto"/>
        <w:bottom w:val="none" w:sz="0" w:space="0" w:color="auto"/>
        <w:right w:val="none" w:sz="0" w:space="0" w:color="auto"/>
      </w:divBdr>
    </w:div>
    <w:div w:id="211354059">
      <w:bodyDiv w:val="1"/>
      <w:marLeft w:val="0"/>
      <w:marRight w:val="0"/>
      <w:marTop w:val="0"/>
      <w:marBottom w:val="0"/>
      <w:divBdr>
        <w:top w:val="none" w:sz="0" w:space="0" w:color="auto"/>
        <w:left w:val="none" w:sz="0" w:space="0" w:color="auto"/>
        <w:bottom w:val="none" w:sz="0" w:space="0" w:color="auto"/>
        <w:right w:val="none" w:sz="0" w:space="0" w:color="auto"/>
      </w:divBdr>
    </w:div>
    <w:div w:id="216278478">
      <w:bodyDiv w:val="1"/>
      <w:marLeft w:val="0"/>
      <w:marRight w:val="0"/>
      <w:marTop w:val="0"/>
      <w:marBottom w:val="0"/>
      <w:divBdr>
        <w:top w:val="none" w:sz="0" w:space="0" w:color="auto"/>
        <w:left w:val="none" w:sz="0" w:space="0" w:color="auto"/>
        <w:bottom w:val="none" w:sz="0" w:space="0" w:color="auto"/>
        <w:right w:val="none" w:sz="0" w:space="0" w:color="auto"/>
      </w:divBdr>
    </w:div>
    <w:div w:id="333461788">
      <w:bodyDiv w:val="1"/>
      <w:marLeft w:val="0"/>
      <w:marRight w:val="0"/>
      <w:marTop w:val="0"/>
      <w:marBottom w:val="0"/>
      <w:divBdr>
        <w:top w:val="none" w:sz="0" w:space="0" w:color="auto"/>
        <w:left w:val="none" w:sz="0" w:space="0" w:color="auto"/>
        <w:bottom w:val="none" w:sz="0" w:space="0" w:color="auto"/>
        <w:right w:val="none" w:sz="0" w:space="0" w:color="auto"/>
      </w:divBdr>
    </w:div>
    <w:div w:id="395323966">
      <w:bodyDiv w:val="1"/>
      <w:marLeft w:val="0"/>
      <w:marRight w:val="0"/>
      <w:marTop w:val="0"/>
      <w:marBottom w:val="0"/>
      <w:divBdr>
        <w:top w:val="none" w:sz="0" w:space="0" w:color="auto"/>
        <w:left w:val="none" w:sz="0" w:space="0" w:color="auto"/>
        <w:bottom w:val="none" w:sz="0" w:space="0" w:color="auto"/>
        <w:right w:val="none" w:sz="0" w:space="0" w:color="auto"/>
      </w:divBdr>
    </w:div>
    <w:div w:id="409038285">
      <w:bodyDiv w:val="1"/>
      <w:marLeft w:val="0"/>
      <w:marRight w:val="0"/>
      <w:marTop w:val="0"/>
      <w:marBottom w:val="0"/>
      <w:divBdr>
        <w:top w:val="none" w:sz="0" w:space="0" w:color="auto"/>
        <w:left w:val="none" w:sz="0" w:space="0" w:color="auto"/>
        <w:bottom w:val="none" w:sz="0" w:space="0" w:color="auto"/>
        <w:right w:val="none" w:sz="0" w:space="0" w:color="auto"/>
      </w:divBdr>
    </w:div>
    <w:div w:id="648872386">
      <w:bodyDiv w:val="1"/>
      <w:marLeft w:val="0"/>
      <w:marRight w:val="0"/>
      <w:marTop w:val="0"/>
      <w:marBottom w:val="0"/>
      <w:divBdr>
        <w:top w:val="none" w:sz="0" w:space="0" w:color="auto"/>
        <w:left w:val="none" w:sz="0" w:space="0" w:color="auto"/>
        <w:bottom w:val="none" w:sz="0" w:space="0" w:color="auto"/>
        <w:right w:val="none" w:sz="0" w:space="0" w:color="auto"/>
      </w:divBdr>
    </w:div>
    <w:div w:id="678850720">
      <w:bodyDiv w:val="1"/>
      <w:marLeft w:val="0"/>
      <w:marRight w:val="0"/>
      <w:marTop w:val="0"/>
      <w:marBottom w:val="0"/>
      <w:divBdr>
        <w:top w:val="none" w:sz="0" w:space="0" w:color="auto"/>
        <w:left w:val="none" w:sz="0" w:space="0" w:color="auto"/>
        <w:bottom w:val="none" w:sz="0" w:space="0" w:color="auto"/>
        <w:right w:val="none" w:sz="0" w:space="0" w:color="auto"/>
      </w:divBdr>
    </w:div>
    <w:div w:id="714739934">
      <w:bodyDiv w:val="1"/>
      <w:marLeft w:val="0"/>
      <w:marRight w:val="0"/>
      <w:marTop w:val="0"/>
      <w:marBottom w:val="0"/>
      <w:divBdr>
        <w:top w:val="none" w:sz="0" w:space="0" w:color="auto"/>
        <w:left w:val="none" w:sz="0" w:space="0" w:color="auto"/>
        <w:bottom w:val="none" w:sz="0" w:space="0" w:color="auto"/>
        <w:right w:val="none" w:sz="0" w:space="0" w:color="auto"/>
      </w:divBdr>
    </w:div>
    <w:div w:id="830412741">
      <w:bodyDiv w:val="1"/>
      <w:marLeft w:val="0"/>
      <w:marRight w:val="0"/>
      <w:marTop w:val="0"/>
      <w:marBottom w:val="0"/>
      <w:divBdr>
        <w:top w:val="none" w:sz="0" w:space="0" w:color="auto"/>
        <w:left w:val="none" w:sz="0" w:space="0" w:color="auto"/>
        <w:bottom w:val="none" w:sz="0" w:space="0" w:color="auto"/>
        <w:right w:val="none" w:sz="0" w:space="0" w:color="auto"/>
      </w:divBdr>
    </w:div>
    <w:div w:id="1015499932">
      <w:bodyDiv w:val="1"/>
      <w:marLeft w:val="0"/>
      <w:marRight w:val="0"/>
      <w:marTop w:val="0"/>
      <w:marBottom w:val="0"/>
      <w:divBdr>
        <w:top w:val="none" w:sz="0" w:space="0" w:color="auto"/>
        <w:left w:val="none" w:sz="0" w:space="0" w:color="auto"/>
        <w:bottom w:val="none" w:sz="0" w:space="0" w:color="auto"/>
        <w:right w:val="none" w:sz="0" w:space="0" w:color="auto"/>
      </w:divBdr>
    </w:div>
    <w:div w:id="1067915643">
      <w:bodyDiv w:val="1"/>
      <w:marLeft w:val="0"/>
      <w:marRight w:val="0"/>
      <w:marTop w:val="0"/>
      <w:marBottom w:val="0"/>
      <w:divBdr>
        <w:top w:val="none" w:sz="0" w:space="0" w:color="auto"/>
        <w:left w:val="none" w:sz="0" w:space="0" w:color="auto"/>
        <w:bottom w:val="none" w:sz="0" w:space="0" w:color="auto"/>
        <w:right w:val="none" w:sz="0" w:space="0" w:color="auto"/>
      </w:divBdr>
    </w:div>
    <w:div w:id="1243219228">
      <w:bodyDiv w:val="1"/>
      <w:marLeft w:val="0"/>
      <w:marRight w:val="0"/>
      <w:marTop w:val="0"/>
      <w:marBottom w:val="0"/>
      <w:divBdr>
        <w:top w:val="none" w:sz="0" w:space="0" w:color="auto"/>
        <w:left w:val="none" w:sz="0" w:space="0" w:color="auto"/>
        <w:bottom w:val="none" w:sz="0" w:space="0" w:color="auto"/>
        <w:right w:val="none" w:sz="0" w:space="0" w:color="auto"/>
      </w:divBdr>
    </w:div>
    <w:div w:id="1514877730">
      <w:marLeft w:val="0"/>
      <w:marRight w:val="0"/>
      <w:marTop w:val="0"/>
      <w:marBottom w:val="0"/>
      <w:divBdr>
        <w:top w:val="none" w:sz="0" w:space="0" w:color="auto"/>
        <w:left w:val="none" w:sz="0" w:space="0" w:color="auto"/>
        <w:bottom w:val="none" w:sz="0" w:space="0" w:color="auto"/>
        <w:right w:val="none" w:sz="0" w:space="0" w:color="auto"/>
      </w:divBdr>
    </w:div>
    <w:div w:id="1514877731">
      <w:marLeft w:val="0"/>
      <w:marRight w:val="0"/>
      <w:marTop w:val="0"/>
      <w:marBottom w:val="0"/>
      <w:divBdr>
        <w:top w:val="none" w:sz="0" w:space="0" w:color="auto"/>
        <w:left w:val="none" w:sz="0" w:space="0" w:color="auto"/>
        <w:bottom w:val="none" w:sz="0" w:space="0" w:color="auto"/>
        <w:right w:val="none" w:sz="0" w:space="0" w:color="auto"/>
      </w:divBdr>
    </w:div>
    <w:div w:id="1514877732">
      <w:marLeft w:val="0"/>
      <w:marRight w:val="0"/>
      <w:marTop w:val="0"/>
      <w:marBottom w:val="0"/>
      <w:divBdr>
        <w:top w:val="none" w:sz="0" w:space="0" w:color="auto"/>
        <w:left w:val="none" w:sz="0" w:space="0" w:color="auto"/>
        <w:bottom w:val="none" w:sz="0" w:space="0" w:color="auto"/>
        <w:right w:val="none" w:sz="0" w:space="0" w:color="auto"/>
      </w:divBdr>
    </w:div>
    <w:div w:id="1626932252">
      <w:bodyDiv w:val="1"/>
      <w:marLeft w:val="0"/>
      <w:marRight w:val="0"/>
      <w:marTop w:val="0"/>
      <w:marBottom w:val="0"/>
      <w:divBdr>
        <w:top w:val="none" w:sz="0" w:space="0" w:color="auto"/>
        <w:left w:val="none" w:sz="0" w:space="0" w:color="auto"/>
        <w:bottom w:val="none" w:sz="0" w:space="0" w:color="auto"/>
        <w:right w:val="none" w:sz="0" w:space="0" w:color="auto"/>
      </w:divBdr>
    </w:div>
    <w:div w:id="1746222847">
      <w:bodyDiv w:val="1"/>
      <w:marLeft w:val="0"/>
      <w:marRight w:val="0"/>
      <w:marTop w:val="0"/>
      <w:marBottom w:val="0"/>
      <w:divBdr>
        <w:top w:val="none" w:sz="0" w:space="0" w:color="auto"/>
        <w:left w:val="none" w:sz="0" w:space="0" w:color="auto"/>
        <w:bottom w:val="none" w:sz="0" w:space="0" w:color="auto"/>
        <w:right w:val="none" w:sz="0" w:space="0" w:color="auto"/>
      </w:divBdr>
    </w:div>
    <w:div w:id="1786996802">
      <w:bodyDiv w:val="1"/>
      <w:marLeft w:val="0"/>
      <w:marRight w:val="0"/>
      <w:marTop w:val="0"/>
      <w:marBottom w:val="0"/>
      <w:divBdr>
        <w:top w:val="none" w:sz="0" w:space="0" w:color="auto"/>
        <w:left w:val="none" w:sz="0" w:space="0" w:color="auto"/>
        <w:bottom w:val="none" w:sz="0" w:space="0" w:color="auto"/>
        <w:right w:val="none" w:sz="0" w:space="0" w:color="auto"/>
      </w:divBdr>
    </w:div>
    <w:div w:id="1965691720">
      <w:bodyDiv w:val="1"/>
      <w:marLeft w:val="0"/>
      <w:marRight w:val="0"/>
      <w:marTop w:val="0"/>
      <w:marBottom w:val="0"/>
      <w:divBdr>
        <w:top w:val="none" w:sz="0" w:space="0" w:color="auto"/>
        <w:left w:val="none" w:sz="0" w:space="0" w:color="auto"/>
        <w:bottom w:val="none" w:sz="0" w:space="0" w:color="auto"/>
        <w:right w:val="none" w:sz="0" w:space="0" w:color="auto"/>
      </w:divBdr>
    </w:div>
    <w:div w:id="1977877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B129AF-4A9D-4D90-B943-20E7AFD48C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2260</TotalTime>
  <Pages>16</Pages>
  <Words>5067</Words>
  <Characters>29897</Characters>
  <Application>Microsoft Office Word</Application>
  <DocSecurity>0</DocSecurity>
  <Lines>249</Lines>
  <Paragraphs>69</Paragraphs>
  <ScaleCrop>false</ScaleCrop>
  <HeadingPairs>
    <vt:vector size="2" baseType="variant">
      <vt:variant>
        <vt:lpstr>Název</vt:lpstr>
      </vt:variant>
      <vt:variant>
        <vt:i4>1</vt:i4>
      </vt:variant>
    </vt:vector>
  </HeadingPairs>
  <TitlesOfParts>
    <vt:vector size="1" baseType="lpstr">
      <vt:lpstr>Technická zpráva</vt:lpstr>
    </vt:vector>
  </TitlesOfParts>
  <Company>AQUA PROCON s.r.o.</Company>
  <LinksUpToDate>false</LinksUpToDate>
  <CharactersWithSpaces>34895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Technická zpráva</dc:title>
  <dc:creator>Sousedík Milan</dc:creator>
  <cp:lastModifiedBy>Vlach Štěpán</cp:lastModifiedBy>
  <cp:revision>222</cp:revision>
  <cp:lastPrinted>2020-10-16T08:23:00Z</cp:lastPrinted>
  <dcterms:created xsi:type="dcterms:W3CDTF">2015-06-30T09:25:00Z</dcterms:created>
  <dcterms:modified xsi:type="dcterms:W3CDTF">2021-01-28T06:53:00Z</dcterms:modified>
</cp:coreProperties>
</file>