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7A7" w:rsidRDefault="009317A7" w:rsidP="009317A7">
      <w:bookmarkStart w:id="0" w:name="_Toc57478804"/>
    </w:p>
    <w:p w:rsidR="000337EA" w:rsidRDefault="000337EA" w:rsidP="009317A7"/>
    <w:p w:rsidR="000337EA" w:rsidRDefault="000337EA" w:rsidP="009317A7"/>
    <w:p w:rsidR="000337EA" w:rsidRDefault="000337EA" w:rsidP="009317A7"/>
    <w:p w:rsidR="000337EA" w:rsidRDefault="000337EA" w:rsidP="009317A7"/>
    <w:p w:rsidR="000337EA" w:rsidRDefault="000337EA" w:rsidP="000337EA">
      <w:pPr>
        <w:ind w:left="0"/>
      </w:pPr>
    </w:p>
    <w:p w:rsidR="000337EA" w:rsidRDefault="000337EA" w:rsidP="009317A7"/>
    <w:p w:rsidR="00A47F39" w:rsidRDefault="00A47F39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1E03F6" w:rsidP="009317A7">
      <w:r>
        <w:t xml:space="preserve">  </w:t>
      </w:r>
    </w:p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0337EA" w:rsidRDefault="002D5F79" w:rsidP="009317A7">
      <w:r>
        <w:tab/>
      </w:r>
    </w:p>
    <w:p w:rsidR="009317A7" w:rsidRPr="00710C9E" w:rsidRDefault="009317A7" w:rsidP="009317A7">
      <w:pPr>
        <w:ind w:left="0"/>
      </w:pPr>
    </w:p>
    <w:p w:rsidR="009317A7" w:rsidRDefault="009317A7" w:rsidP="00AF53A8"/>
    <w:p w:rsidR="000337EA" w:rsidRPr="000548D1" w:rsidRDefault="000337EA" w:rsidP="000337EA">
      <w:pPr>
        <w:ind w:left="0"/>
        <w:rPr>
          <w:b/>
          <w:sz w:val="28"/>
          <w:szCs w:val="28"/>
        </w:rPr>
      </w:pPr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  <w:sz w:val="20"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  <w:sz w:val="22"/>
        </w:rPr>
      </w:sdtEndPr>
      <w:sdtContent>
        <w:bookmarkStart w:id="1" w:name="_Toc505324524" w:displacedByCustomXml="prev"/>
        <w:p w:rsidR="003F6B3A" w:rsidRDefault="000337EA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3F6B3A" w:rsidRPr="00387335">
            <w:rPr>
              <w:rFonts w:ascii="Century Gothic" w:hAnsi="Century Gothic" w:cs="Times New Roman"/>
              <w:noProof/>
              <w:snapToGrid w:val="0"/>
              <w:w w:val="0"/>
            </w:rPr>
            <w:t>B.</w:t>
          </w:r>
          <w:r w:rsidR="003F6B3A"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="003F6B3A" w:rsidRPr="00387335">
            <w:rPr>
              <w:noProof/>
            </w:rPr>
            <w:t>SOUHRNNÁ TECHNICKÁ ZPRÁVA</w:t>
          </w:r>
          <w:r w:rsidR="003F6B3A">
            <w:rPr>
              <w:noProof/>
            </w:rPr>
            <w:tab/>
          </w:r>
          <w:r w:rsidR="003F6B3A">
            <w:rPr>
              <w:noProof/>
            </w:rPr>
            <w:fldChar w:fldCharType="begin"/>
          </w:r>
          <w:r w:rsidR="003F6B3A">
            <w:rPr>
              <w:noProof/>
            </w:rPr>
            <w:instrText xml:space="preserve"> PAGEREF _Toc138683815 \h </w:instrText>
          </w:r>
          <w:r w:rsidR="003F6B3A">
            <w:rPr>
              <w:noProof/>
            </w:rPr>
          </w:r>
          <w:r w:rsidR="003F6B3A">
            <w:rPr>
              <w:noProof/>
            </w:rPr>
            <w:fldChar w:fldCharType="separate"/>
          </w:r>
          <w:r w:rsidR="003F6B3A">
            <w:rPr>
              <w:noProof/>
            </w:rPr>
            <w:t>2</w:t>
          </w:r>
          <w:r w:rsidR="003F6B3A">
            <w:rPr>
              <w:noProof/>
            </w:rPr>
            <w:fldChar w:fldCharType="end"/>
          </w:r>
        </w:p>
        <w:p w:rsidR="003F6B3A" w:rsidRDefault="003F6B3A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noProof/>
            </w:rPr>
            <w:t>B.1.</w:t>
          </w:r>
          <w:r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Pr="00387335">
            <w:rPr>
              <w:noProof/>
            </w:rPr>
            <w:t>POPIS ÚZEMÍ 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_Toc138683816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3F6B3A" w:rsidRDefault="003F6B3A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noProof/>
            </w:rPr>
            <w:t>B.2.</w:t>
          </w:r>
          <w:r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Pr="00387335">
            <w:rPr>
              <w:noProof/>
            </w:rPr>
            <w:t>CELKOVÝ POPIS 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_Toc138683817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0337EA" w:rsidRDefault="000337EA" w:rsidP="000337EA">
          <w:r>
            <w:fldChar w:fldCharType="end"/>
          </w:r>
        </w:p>
      </w:sdtContent>
    </w:sdt>
    <w:bookmarkEnd w:id="1" w:displacedByCustomXml="prev"/>
    <w:p w:rsidR="00AF53A8" w:rsidRPr="006D59D0" w:rsidRDefault="000337EA" w:rsidP="00AF53A8">
      <w:pPr>
        <w:pStyle w:val="Nadpis1"/>
      </w:pPr>
      <w:bookmarkStart w:id="2" w:name="_Toc138683815"/>
      <w:r w:rsidRPr="006D59D0">
        <w:rPr>
          <w:caps w:val="0"/>
        </w:rPr>
        <w:lastRenderedPageBreak/>
        <w:t>SOUHRNNÁ TECHNICKÁ ZPRÁVA</w:t>
      </w:r>
      <w:bookmarkEnd w:id="0"/>
      <w:bookmarkEnd w:id="2"/>
    </w:p>
    <w:p w:rsidR="00AF53A8" w:rsidRPr="006D59D0" w:rsidRDefault="000337EA" w:rsidP="00AF53A8">
      <w:pPr>
        <w:pStyle w:val="Nadpis2"/>
      </w:pPr>
      <w:bookmarkStart w:id="3" w:name="_Toc57478805"/>
      <w:bookmarkStart w:id="4" w:name="_Toc138683816"/>
      <w:r w:rsidRPr="006D59D0">
        <w:rPr>
          <w:caps w:val="0"/>
        </w:rPr>
        <w:t>POPIS ÚZEMÍ STAVBY</w:t>
      </w:r>
      <w:bookmarkEnd w:id="3"/>
      <w:bookmarkEnd w:id="4"/>
    </w:p>
    <w:p w:rsidR="00DD5CE6" w:rsidRPr="006D59D0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bookmarkStart w:id="5" w:name="_Toc505324150"/>
      <w:bookmarkStart w:id="6" w:name="_Toc505324519"/>
      <w:r w:rsidRPr="006D59D0">
        <w:rPr>
          <w:rFonts w:cs="Arial"/>
          <w:color w:val="000000" w:themeColor="text1"/>
          <w:lang w:eastAsia="cs-CZ"/>
        </w:rPr>
        <w:t>Charakteristika území a stavebního pozemku, zastavěné území a nezastavěné území, soulad navrhované stavby s charakterem území, dosavadní využití a zastavěnost území</w:t>
      </w:r>
    </w:p>
    <w:p w:rsidR="00DC696D" w:rsidRPr="00B56122" w:rsidRDefault="00DC696D" w:rsidP="00DC696D">
      <w:pPr>
        <w:ind w:left="0"/>
      </w:pPr>
      <w:r w:rsidRPr="00DC696D">
        <w:t xml:space="preserve">Řešená stavba se nachází v ul. Táborského nábřeží (úsek Vídeňská – Ludmily Konečné). Vymezení stavby pak odpovídá poloze stávajícího vodovodu, jež je určen k </w:t>
      </w:r>
      <w:r w:rsidR="00254C47">
        <w:t>výměně</w:t>
      </w:r>
      <w:r w:rsidRPr="00DC696D">
        <w:t>. Stavba se nachází na veřejně přístupných pozemcích.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Údaje o souladu s územním rozhodnutím nebo regulačním plánem nebo veřejnoprávní smlouvou územní rozhodnutí nahrazující anebo územním souhlasem</w:t>
      </w:r>
    </w:p>
    <w:p w:rsidR="00AF53A8" w:rsidRPr="00E8080E" w:rsidRDefault="001C607C" w:rsidP="0015304B">
      <w:pPr>
        <w:ind w:left="0"/>
      </w:pPr>
      <w:r w:rsidRPr="00E8080E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Údaje o souladu stavby s územně plánovací dokumentací, v případě stavebních úprav podmiňujících změnu v užívání stavby</w:t>
      </w:r>
    </w:p>
    <w:p w:rsidR="00DD5CE6" w:rsidRPr="00E8080E" w:rsidRDefault="00DD5CE6" w:rsidP="0015304B">
      <w:pPr>
        <w:ind w:left="0"/>
      </w:pPr>
      <w:r w:rsidRPr="00E8080E">
        <w:t xml:space="preserve">Navržená stavba je v souladu se záměrem </w:t>
      </w:r>
      <w:r w:rsidR="00E8080E" w:rsidRPr="00E8080E">
        <w:t>Statutárního města Brna realizovat protipovodňová opatření – etapa VII a VIII.</w:t>
      </w:r>
    </w:p>
    <w:p w:rsidR="00AF53A8" w:rsidRPr="00E8080E" w:rsidRDefault="00AF53A8" w:rsidP="0015304B">
      <w:pPr>
        <w:ind w:left="0"/>
      </w:pPr>
      <w:r w:rsidRPr="00E8080E">
        <w:t>Stavba je navržena dle platných ČSN, zákonů a vyhlášek.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Informace o vydaných rozhodnutích o povolení výjimky z obecných požadavků na využívání území</w:t>
      </w:r>
    </w:p>
    <w:p w:rsidR="00AF53A8" w:rsidRPr="00E8080E" w:rsidRDefault="00AF53A8" w:rsidP="0015304B">
      <w:pPr>
        <w:ind w:left="0"/>
      </w:pPr>
      <w:r w:rsidRPr="00E8080E">
        <w:t>Ne</w:t>
      </w:r>
      <w:r w:rsidR="00DD5CE6" w:rsidRPr="00E8080E">
        <w:t>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Informace o tom, zda a v jakých částech dokumentace jsou zohledněny podmínky závazných stanovisek dotčených orgánů</w:t>
      </w:r>
    </w:p>
    <w:p w:rsidR="00AF53A8" w:rsidRPr="00E8080E" w:rsidRDefault="005055A0" w:rsidP="0015304B">
      <w:pPr>
        <w:ind w:left="0"/>
      </w:pPr>
      <w:r w:rsidRPr="00E8080E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Výčet a závěry provedených průzkumů a rozborů – geologický průzkum, hydrogeologický průzkum, stavebně historický průzkum apod.</w:t>
      </w:r>
    </w:p>
    <w:p w:rsidR="00E652E5" w:rsidRPr="00E8080E" w:rsidRDefault="005055A0" w:rsidP="005055A0">
      <w:pPr>
        <w:ind w:left="0"/>
      </w:pPr>
      <w:r w:rsidRPr="00E8080E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Ochrana území podle jiných právních předpisů</w:t>
      </w:r>
      <w:r w:rsidRPr="00E8080E">
        <w:rPr>
          <w:rFonts w:cs="Arial"/>
          <w:color w:val="000000" w:themeColor="text1"/>
          <w:vertAlign w:val="superscript"/>
          <w:lang w:eastAsia="cs-CZ"/>
        </w:rPr>
        <w:t>1)</w:t>
      </w:r>
    </w:p>
    <w:p w:rsidR="00AF53A8" w:rsidRPr="00E8080E" w:rsidRDefault="00D20F20" w:rsidP="0015304B">
      <w:pPr>
        <w:ind w:left="0"/>
      </w:pPr>
      <w:r w:rsidRPr="00E8080E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 xml:space="preserve">Poloha vzhledem k záplavovému území, poddolovanému </w:t>
      </w:r>
      <w:proofErr w:type="gramStart"/>
      <w:r w:rsidRPr="00E8080E">
        <w:rPr>
          <w:rFonts w:cs="Arial"/>
          <w:color w:val="000000" w:themeColor="text1"/>
          <w:lang w:eastAsia="cs-CZ"/>
        </w:rPr>
        <w:t>území,</w:t>
      </w:r>
      <w:proofErr w:type="gramEnd"/>
      <w:r w:rsidRPr="00E8080E">
        <w:rPr>
          <w:rFonts w:cs="Arial"/>
          <w:color w:val="000000" w:themeColor="text1"/>
          <w:lang w:eastAsia="cs-CZ"/>
        </w:rPr>
        <w:t xml:space="preserve"> apod.</w:t>
      </w:r>
    </w:p>
    <w:p w:rsidR="00AF53A8" w:rsidRPr="00E8080E" w:rsidRDefault="00F3493B" w:rsidP="0015304B">
      <w:pPr>
        <w:ind w:left="0"/>
      </w:pPr>
      <w:r w:rsidRPr="00E8080E">
        <w:t>Stavba</w:t>
      </w:r>
      <w:r w:rsidR="00AF53A8" w:rsidRPr="00E8080E">
        <w:t xml:space="preserve"> se nachází v záplavovém území řeky </w:t>
      </w:r>
      <w:r w:rsidR="00933E30" w:rsidRPr="00E8080E">
        <w:t>Svratky</w:t>
      </w:r>
      <w:r w:rsidRPr="00E8080E">
        <w:t xml:space="preserve"> (Q</w:t>
      </w:r>
      <w:r w:rsidRPr="00E8080E">
        <w:rPr>
          <w:vertAlign w:val="subscript"/>
        </w:rPr>
        <w:t>100</w:t>
      </w:r>
      <w:r w:rsidRPr="00E8080E">
        <w:t>). Stavba se nachází mimo poddolované území.</w:t>
      </w:r>
    </w:p>
    <w:p w:rsidR="00F50F33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Vliv stavby na okolní stavby a pozemky, ochrana okolí, vliv stavby na odtokové poměry v území</w:t>
      </w:r>
    </w:p>
    <w:p w:rsidR="00AF53A8" w:rsidRPr="00E8080E" w:rsidRDefault="00AF53A8" w:rsidP="0015304B">
      <w:pPr>
        <w:ind w:left="0"/>
      </w:pPr>
      <w:r w:rsidRPr="00E8080E">
        <w:t>V průběhu stavby mohou vznikat v jisté míře negativní vlivy na okolí, především co se týče hluku ze stavební činnosti. Budou dodrženy požadavky vládního nařízení č.148/2006 Sb. o ochraně zdraví před nepříznivými účinky hluku a vibrací bude zohledněna hluková zátěž z mobilních i stacionárních zdrojů hluku, technologie provozu, dopravní hlučnost, denní provoz.</w:t>
      </w:r>
      <w:r w:rsidR="00F50F33" w:rsidRPr="00E8080E">
        <w:t xml:space="preserve"> Míra zhoršení bude závislá na kvalitě organizace výstavby, stavebním dozoru a schopnostech dodavatele.</w:t>
      </w:r>
      <w:r w:rsidR="00CF11A2" w:rsidRPr="00E8080E">
        <w:t xml:space="preserve"> </w:t>
      </w:r>
      <w:r w:rsidRPr="00E8080E">
        <w:t>Vliv stavby nebude mít také negativní vliv na odtokové poměry v území.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Požadavky na asanace, demolice, kácení dřevin</w:t>
      </w:r>
    </w:p>
    <w:p w:rsidR="00AF53A8" w:rsidRPr="00E8080E" w:rsidRDefault="005055A0" w:rsidP="0015304B">
      <w:pPr>
        <w:ind w:left="0"/>
      </w:pPr>
      <w:r w:rsidRPr="00E8080E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Požadavky na maximální dočasné a trvalé zábory zemědělského půdního fondu nebo pozemků určených k plnění funkce lesa</w:t>
      </w:r>
    </w:p>
    <w:p w:rsidR="00AF53A8" w:rsidRPr="006D59D0" w:rsidRDefault="00D20F20" w:rsidP="0015304B">
      <w:pPr>
        <w:ind w:left="0"/>
      </w:pPr>
      <w:r w:rsidRPr="006D59D0">
        <w:lastRenderedPageBreak/>
        <w:t>Netýká se.</w:t>
      </w:r>
    </w:p>
    <w:p w:rsidR="00AF53A8" w:rsidRPr="006D59D0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Územně technické podmínky – zejména možnost napojení na stávající dopravní a technickou infrastrukturu, možnost bezbariérového přístupu k navrhované stavb</w:t>
      </w:r>
      <w:r w:rsidR="002E6EA0" w:rsidRPr="006D59D0">
        <w:rPr>
          <w:rFonts w:cs="Arial"/>
          <w:color w:val="000000" w:themeColor="text1"/>
          <w:lang w:eastAsia="cs-CZ"/>
        </w:rPr>
        <w:t>ě</w:t>
      </w:r>
    </w:p>
    <w:p w:rsidR="00433F4C" w:rsidRPr="006D59D0" w:rsidRDefault="00433F4C" w:rsidP="0015304B">
      <w:pPr>
        <w:ind w:left="0"/>
        <w:rPr>
          <w:lang w:eastAsia="cs-CZ"/>
        </w:rPr>
      </w:pPr>
      <w:r w:rsidRPr="006D59D0">
        <w:rPr>
          <w:lang w:eastAsia="cs-CZ"/>
        </w:rPr>
        <w:t>Netýká se.</w:t>
      </w:r>
    </w:p>
    <w:p w:rsidR="00AF53A8" w:rsidRPr="006D59D0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Věcně a časové vazby stavby, podmiňující</w:t>
      </w:r>
      <w:r w:rsidR="00183D99" w:rsidRPr="006D59D0">
        <w:rPr>
          <w:rFonts w:cs="Arial"/>
          <w:color w:val="000000" w:themeColor="text1"/>
          <w:lang w:eastAsia="cs-CZ"/>
        </w:rPr>
        <w:t xml:space="preserve">, </w:t>
      </w:r>
      <w:r w:rsidRPr="006D59D0">
        <w:rPr>
          <w:rFonts w:cs="Arial"/>
          <w:color w:val="000000" w:themeColor="text1"/>
          <w:lang w:eastAsia="cs-CZ"/>
        </w:rPr>
        <w:t>vyvolané</w:t>
      </w:r>
      <w:r w:rsidR="00183D99" w:rsidRPr="006D59D0">
        <w:rPr>
          <w:rFonts w:cs="Arial"/>
          <w:color w:val="000000" w:themeColor="text1"/>
          <w:lang w:eastAsia="cs-CZ"/>
        </w:rPr>
        <w:t xml:space="preserve">, související </w:t>
      </w:r>
      <w:r w:rsidRPr="006D59D0">
        <w:rPr>
          <w:rFonts w:cs="Arial"/>
          <w:color w:val="000000" w:themeColor="text1"/>
          <w:lang w:eastAsia="cs-CZ"/>
        </w:rPr>
        <w:t>investice</w:t>
      </w:r>
    </w:p>
    <w:p w:rsidR="001E03F6" w:rsidRPr="00D93952" w:rsidRDefault="001E03F6" w:rsidP="001E03F6">
      <w:pPr>
        <w:ind w:left="0"/>
      </w:pPr>
      <w:r w:rsidRPr="00500055">
        <w:t>Stavba bude realizována společně se stavbou protipovodňových opatření města Brna – etapa VII a VIII</w:t>
      </w:r>
      <w:r w:rsidR="00B05551">
        <w:t>.</w:t>
      </w:r>
    </w:p>
    <w:p w:rsidR="00307869" w:rsidRPr="00D73BDF" w:rsidRDefault="00E93268" w:rsidP="00E93268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D73BDF">
        <w:rPr>
          <w:rFonts w:cs="Arial"/>
          <w:color w:val="000000" w:themeColor="text1"/>
          <w:lang w:eastAsia="cs-CZ"/>
        </w:rPr>
        <w:t>Seznam pozemků podle katastru nemovitostí, na kterých se stavba umísťuje a provádí</w:t>
      </w:r>
    </w:p>
    <w:tbl>
      <w:tblPr>
        <w:tblW w:w="9639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5055A0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5055A0" w:rsidRPr="00500055" w:rsidRDefault="005055A0" w:rsidP="00662F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Parcelní číslo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5055A0" w:rsidRPr="00500055" w:rsidRDefault="005055A0" w:rsidP="00662F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Vlastník nemovitosti</w:t>
            </w:r>
          </w:p>
        </w:tc>
      </w:tr>
      <w:tr w:rsidR="00500055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500055" w:rsidRPr="00500055" w:rsidRDefault="00500055" w:rsidP="00500055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701/1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500055" w:rsidRPr="00500055" w:rsidRDefault="00500055" w:rsidP="00500055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Statutární město Brno</w:t>
            </w:r>
          </w:p>
        </w:tc>
      </w:tr>
    </w:tbl>
    <w:p w:rsidR="00AF53A8" w:rsidRPr="006D59D0" w:rsidRDefault="00AF53A8" w:rsidP="006D5CA3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Seznam pozemků podle katastru nemovitostí, na kterých vznikne ochranné nebo bezpečnostní pásmo</w:t>
      </w:r>
    </w:p>
    <w:tbl>
      <w:tblPr>
        <w:tblW w:w="9639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656D70" w:rsidRPr="006D59D0" w:rsidTr="00462AA9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656D70" w:rsidRPr="00500055" w:rsidRDefault="00656D70" w:rsidP="00656D70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Parcelní číslo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56D70" w:rsidRPr="00500055" w:rsidRDefault="00656D70" w:rsidP="00656D70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Vlastník nemovitosti</w:t>
            </w:r>
          </w:p>
        </w:tc>
      </w:tr>
      <w:tr w:rsidR="00656D70" w:rsidRPr="006D59D0" w:rsidTr="00462AA9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656D70" w:rsidRPr="00500055" w:rsidRDefault="00656D70" w:rsidP="00656D70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701/1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56D70" w:rsidRPr="00500055" w:rsidRDefault="00656D70" w:rsidP="00656D70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500055">
              <w:rPr>
                <w:rFonts w:eastAsiaTheme="minorHAnsi" w:cstheme="minorBidi"/>
              </w:rPr>
              <w:t>Statutární město Brno</w:t>
            </w:r>
          </w:p>
        </w:tc>
      </w:tr>
    </w:tbl>
    <w:p w:rsidR="00AF53A8" w:rsidRPr="006D59D0" w:rsidRDefault="000337EA" w:rsidP="00AF53A8">
      <w:pPr>
        <w:pStyle w:val="Nadpis2"/>
      </w:pPr>
      <w:bookmarkStart w:id="7" w:name="_Toc57478806"/>
      <w:bookmarkStart w:id="8" w:name="_Toc138683817"/>
      <w:bookmarkEnd w:id="5"/>
      <w:bookmarkEnd w:id="6"/>
      <w:r w:rsidRPr="006D59D0">
        <w:rPr>
          <w:caps w:val="0"/>
        </w:rPr>
        <w:t>CELKOVÝ POPIS STAVBY</w:t>
      </w:r>
      <w:bookmarkEnd w:id="7"/>
      <w:bookmarkEnd w:id="8"/>
    </w:p>
    <w:p w:rsidR="00AF53A8" w:rsidRPr="0061785D" w:rsidRDefault="00AF53A8" w:rsidP="00307869">
      <w:pPr>
        <w:pStyle w:val="Nadpis4"/>
        <w:numPr>
          <w:ilvl w:val="0"/>
          <w:numId w:val="5"/>
        </w:numPr>
        <w:ind w:left="426" w:hanging="426"/>
      </w:pPr>
      <w:bookmarkStart w:id="9" w:name="_Toc505187573"/>
      <w:r w:rsidRPr="0061785D"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AF53A8" w:rsidRPr="0061785D" w:rsidRDefault="00AF53A8" w:rsidP="00AF1907">
      <w:pPr>
        <w:ind w:left="0"/>
      </w:pPr>
      <w:r w:rsidRPr="0061785D">
        <w:t xml:space="preserve">Jedná se </w:t>
      </w:r>
      <w:r w:rsidR="00AF1907" w:rsidRPr="0061785D">
        <w:t xml:space="preserve">o </w:t>
      </w:r>
      <w:r w:rsidR="006D59D0" w:rsidRPr="0061785D">
        <w:t>změnu dokončené stavby.</w:t>
      </w:r>
    </w:p>
    <w:p w:rsidR="00AF53A8" w:rsidRPr="0061785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61785D">
        <w:t>Účel užívání stavby</w:t>
      </w:r>
    </w:p>
    <w:p w:rsidR="005A1A68" w:rsidRPr="00A928A8" w:rsidRDefault="005A1A68" w:rsidP="005A1A68">
      <w:pPr>
        <w:ind w:left="0"/>
      </w:pPr>
      <w:r w:rsidRPr="00A928A8">
        <w:t>Stavba má jednoznačně pozitivní vliv na životní prostředí, protože po jejím dokončení se sníží riziko poruch při zásobování pitnou vodou.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Trvalá nebo dočasná stavba</w:t>
      </w:r>
    </w:p>
    <w:p w:rsidR="00AF53A8" w:rsidRPr="008A2BDD" w:rsidRDefault="00AF53A8" w:rsidP="00ED44FC">
      <w:pPr>
        <w:ind w:left="0"/>
      </w:pPr>
      <w:r w:rsidRPr="008A2BDD">
        <w:t>Jedná se o trvalou stavbu.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Informace o vydaných rozhodnutích o povolení výjimky z technických požadavků na stavby a technických požadavků zabezpečujících bezbariérové užívání stavby</w:t>
      </w:r>
    </w:p>
    <w:p w:rsidR="00AF53A8" w:rsidRPr="008A2BDD" w:rsidRDefault="00AF53A8" w:rsidP="00ED44FC">
      <w:pPr>
        <w:ind w:left="0"/>
      </w:pPr>
      <w:r w:rsidRPr="008A2BDD">
        <w:t>Stavba nevyžaduje výjimku ani úlevu.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Informace o tom, zda a v jakých částech dokumentace jsou zohledněny podmínky závazných stanovisek dotčených orgánů</w:t>
      </w:r>
    </w:p>
    <w:p w:rsidR="00AF53A8" w:rsidRPr="008A2BDD" w:rsidRDefault="008A2BDD" w:rsidP="00ED44FC">
      <w:pPr>
        <w:ind w:left="0"/>
      </w:pPr>
      <w:r w:rsidRPr="008A2BDD">
        <w:t>Netýká se.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Ochrana stavby podle jiných právních předpisů</w:t>
      </w:r>
      <w:r w:rsidRPr="008A2BDD">
        <w:rPr>
          <w:vertAlign w:val="superscript"/>
        </w:rPr>
        <w:t>1)</w:t>
      </w:r>
    </w:p>
    <w:p w:rsidR="00AF53A8" w:rsidRPr="008A2BDD" w:rsidRDefault="00ED44FC" w:rsidP="00ED44FC">
      <w:pPr>
        <w:ind w:left="0"/>
      </w:pPr>
      <w:r w:rsidRPr="008A2BDD">
        <w:t>Netýká se.</w:t>
      </w:r>
    </w:p>
    <w:p w:rsidR="00AF53A8" w:rsidRPr="008A2BDD" w:rsidRDefault="00AF53A8" w:rsidP="00ED44FC">
      <w:pPr>
        <w:pStyle w:val="Nadpis4"/>
        <w:numPr>
          <w:ilvl w:val="0"/>
          <w:numId w:val="5"/>
        </w:numPr>
        <w:ind w:left="426" w:hanging="426"/>
      </w:pPr>
      <w:bookmarkStart w:id="10" w:name="_Toc505187572"/>
      <w:r w:rsidRPr="008A2BDD">
        <w:t>Navrhované parametry stavby – zastavěná plocha, obestavěný prostor, užitná plocha, počet funkčních jednotek a jejich velikosti apod.</w:t>
      </w:r>
      <w:bookmarkEnd w:id="10"/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230"/>
        <w:gridCol w:w="1417"/>
      </w:tblGrid>
      <w:tr w:rsidR="00211EB3" w:rsidRPr="00910A93" w:rsidTr="0007386B">
        <w:trPr>
          <w:trHeight w:val="368"/>
        </w:trPr>
        <w:tc>
          <w:tcPr>
            <w:tcW w:w="1134" w:type="dxa"/>
            <w:shd w:val="clear" w:color="auto" w:fill="D0CECE" w:themeFill="background2" w:themeFillShade="E6"/>
            <w:noWrap/>
            <w:vAlign w:val="center"/>
          </w:tcPr>
          <w:p w:rsidR="00211EB3" w:rsidRPr="004D2469" w:rsidRDefault="00211EB3" w:rsidP="00211EB3">
            <w:pPr>
              <w:spacing w:before="0" w:after="0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4D2469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7230" w:type="dxa"/>
            <w:shd w:val="clear" w:color="auto" w:fill="D0CECE" w:themeFill="background2" w:themeFillShade="E6"/>
            <w:noWrap/>
            <w:vAlign w:val="center"/>
          </w:tcPr>
          <w:p w:rsidR="00211EB3" w:rsidRPr="004D2469" w:rsidRDefault="00211EB3" w:rsidP="00211EB3">
            <w:pPr>
              <w:spacing w:before="0" w:after="0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4D2469">
              <w:rPr>
                <w:rFonts w:cs="Arial"/>
                <w:sz w:val="20"/>
                <w:szCs w:val="20"/>
              </w:rPr>
              <w:t>Název stavebního objektu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211EB3" w:rsidRPr="004D2469" w:rsidRDefault="00211EB3" w:rsidP="0007386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1EB3" w:rsidRPr="00CE78A6" w:rsidTr="0007386B">
        <w:trPr>
          <w:trHeight w:val="368"/>
        </w:trPr>
        <w:tc>
          <w:tcPr>
            <w:tcW w:w="1134" w:type="dxa"/>
            <w:shd w:val="clear" w:color="auto" w:fill="auto"/>
            <w:noWrap/>
            <w:vAlign w:val="center"/>
          </w:tcPr>
          <w:p w:rsidR="00211EB3" w:rsidRPr="00CC7A3C" w:rsidRDefault="00211EB3" w:rsidP="00211EB3">
            <w:pPr>
              <w:spacing w:before="0" w:after="0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 w:rsidRPr="00CC7A3C">
              <w:rPr>
                <w:rFonts w:cs="Arial"/>
                <w:b/>
                <w:sz w:val="20"/>
                <w:szCs w:val="20"/>
              </w:rPr>
              <w:t>310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:rsidR="00211EB3" w:rsidRPr="00CC7A3C" w:rsidRDefault="00C33746" w:rsidP="00211EB3">
            <w:pPr>
              <w:spacing w:before="0" w:after="0"/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CC7A3C">
              <w:rPr>
                <w:rFonts w:cs="Arial"/>
                <w:b/>
                <w:bCs/>
                <w:sz w:val="20"/>
                <w:szCs w:val="20"/>
              </w:rPr>
              <w:t>Vodovod</w:t>
            </w:r>
          </w:p>
        </w:tc>
        <w:tc>
          <w:tcPr>
            <w:tcW w:w="1417" w:type="dxa"/>
            <w:vAlign w:val="center"/>
          </w:tcPr>
          <w:p w:rsidR="00211EB3" w:rsidRPr="00CC7A3C" w:rsidRDefault="00211EB3" w:rsidP="0007386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265EF" w:rsidRPr="00CE78A6" w:rsidTr="0007386B">
        <w:trPr>
          <w:trHeight w:val="368"/>
        </w:trPr>
        <w:tc>
          <w:tcPr>
            <w:tcW w:w="1134" w:type="dxa"/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spacing w:before="0" w:after="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pStyle w:val="Odstavecseseznamem"/>
              <w:numPr>
                <w:ilvl w:val="0"/>
                <w:numId w:val="14"/>
              </w:numPr>
              <w:spacing w:before="0" w:after="0"/>
              <w:ind w:left="213" w:hanging="213"/>
              <w:rPr>
                <w:rFonts w:cs="Arial"/>
                <w:sz w:val="20"/>
              </w:rPr>
            </w:pPr>
            <w:r w:rsidRPr="00CC7A3C">
              <w:rPr>
                <w:rFonts w:cs="Arial"/>
                <w:sz w:val="20"/>
              </w:rPr>
              <w:t xml:space="preserve">vodovod </w:t>
            </w:r>
            <w:r w:rsidRPr="00CC7A3C">
              <w:t>–</w:t>
            </w:r>
            <w:r w:rsidRPr="00CC7A3C">
              <w:rPr>
                <w:rFonts w:cs="Arial"/>
                <w:sz w:val="20"/>
              </w:rPr>
              <w:t xml:space="preserve"> tvárná litina DN 100 s vnitřní cementovou vystýlkou a vnější těžkou protikorozní ochranou PE povlakem</w:t>
            </w:r>
          </w:p>
        </w:tc>
        <w:tc>
          <w:tcPr>
            <w:tcW w:w="1417" w:type="dxa"/>
            <w:vAlign w:val="center"/>
          </w:tcPr>
          <w:p w:rsidR="00E265EF" w:rsidRPr="00CC7A3C" w:rsidRDefault="004D2469" w:rsidP="00E265EF">
            <w:pPr>
              <w:spacing w:before="0" w:after="0"/>
              <w:ind w:left="0"/>
              <w:contextualSpacing/>
              <w:jc w:val="right"/>
              <w:rPr>
                <w:rFonts w:cs="Arial"/>
                <w:sz w:val="20"/>
                <w:szCs w:val="20"/>
              </w:rPr>
            </w:pPr>
            <w:r w:rsidRPr="00CC7A3C">
              <w:rPr>
                <w:rFonts w:cs="Arial"/>
                <w:sz w:val="20"/>
                <w:szCs w:val="20"/>
              </w:rPr>
              <w:t>115</w:t>
            </w:r>
            <w:r w:rsidR="00E265EF" w:rsidRPr="00CC7A3C">
              <w:rPr>
                <w:rFonts w:cs="Arial"/>
                <w:sz w:val="20"/>
                <w:szCs w:val="20"/>
              </w:rPr>
              <w:t>,</w:t>
            </w:r>
            <w:r w:rsidRPr="00CC7A3C">
              <w:rPr>
                <w:rFonts w:cs="Arial"/>
                <w:sz w:val="20"/>
                <w:szCs w:val="20"/>
              </w:rPr>
              <w:t>9</w:t>
            </w:r>
            <w:r w:rsidR="00E265EF" w:rsidRPr="00CC7A3C">
              <w:rPr>
                <w:rFonts w:cs="Arial"/>
                <w:sz w:val="20"/>
                <w:szCs w:val="20"/>
              </w:rPr>
              <w:t xml:space="preserve"> m</w:t>
            </w:r>
          </w:p>
        </w:tc>
      </w:tr>
      <w:tr w:rsidR="00E265EF" w:rsidRPr="00CE78A6" w:rsidTr="0007386B">
        <w:trPr>
          <w:trHeight w:val="368"/>
        </w:trPr>
        <w:tc>
          <w:tcPr>
            <w:tcW w:w="1134" w:type="dxa"/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spacing w:before="0" w:after="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pStyle w:val="Odstavecseseznamem"/>
              <w:numPr>
                <w:ilvl w:val="0"/>
                <w:numId w:val="14"/>
              </w:numPr>
              <w:spacing w:before="0" w:after="0"/>
              <w:ind w:left="213" w:hanging="213"/>
              <w:rPr>
                <w:rFonts w:cs="Arial"/>
                <w:sz w:val="20"/>
              </w:rPr>
            </w:pPr>
            <w:r w:rsidRPr="00CC7A3C">
              <w:rPr>
                <w:rFonts w:cs="Arial"/>
                <w:sz w:val="20"/>
              </w:rPr>
              <w:t>provizorní vodovod PE100 – SDR11 – 110x10,0 mm</w:t>
            </w:r>
          </w:p>
        </w:tc>
        <w:tc>
          <w:tcPr>
            <w:tcW w:w="1417" w:type="dxa"/>
            <w:vAlign w:val="center"/>
          </w:tcPr>
          <w:p w:rsidR="00E265EF" w:rsidRPr="00CC7A3C" w:rsidRDefault="00CC7A3C" w:rsidP="00E265EF">
            <w:pPr>
              <w:spacing w:before="0" w:after="0"/>
              <w:ind w:left="0"/>
              <w:contextualSpacing/>
              <w:jc w:val="right"/>
              <w:rPr>
                <w:rFonts w:cs="Arial"/>
                <w:sz w:val="20"/>
                <w:szCs w:val="20"/>
              </w:rPr>
            </w:pPr>
            <w:r w:rsidRPr="00CC7A3C">
              <w:rPr>
                <w:rFonts w:cs="Arial"/>
                <w:sz w:val="20"/>
                <w:szCs w:val="20"/>
              </w:rPr>
              <w:t>109</w:t>
            </w:r>
            <w:r w:rsidR="00E265EF" w:rsidRPr="00CC7A3C">
              <w:rPr>
                <w:rFonts w:cs="Arial"/>
                <w:sz w:val="20"/>
                <w:szCs w:val="20"/>
              </w:rPr>
              <w:t>,0 m</w:t>
            </w:r>
          </w:p>
        </w:tc>
      </w:tr>
      <w:tr w:rsidR="00C33746" w:rsidRPr="006627CB" w:rsidTr="00C33746">
        <w:trPr>
          <w:trHeight w:val="368"/>
        </w:trPr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C33746" w:rsidRPr="00CC7A3C" w:rsidRDefault="00C33746" w:rsidP="00C33746">
            <w:pPr>
              <w:spacing w:before="0" w:after="0"/>
              <w:ind w:left="0"/>
              <w:jc w:val="center"/>
              <w:rPr>
                <w:rFonts w:cs="Arial"/>
                <w:b/>
                <w:sz w:val="20"/>
                <w:szCs w:val="20"/>
              </w:rPr>
            </w:pPr>
            <w:r w:rsidRPr="00CC7A3C">
              <w:rPr>
                <w:rFonts w:cs="Arial"/>
                <w:b/>
                <w:sz w:val="20"/>
                <w:szCs w:val="20"/>
              </w:rPr>
              <w:t>320</w:t>
            </w:r>
          </w:p>
        </w:tc>
        <w:tc>
          <w:tcPr>
            <w:tcW w:w="723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C33746" w:rsidRPr="00CC7A3C" w:rsidRDefault="00C33746" w:rsidP="00C33746">
            <w:pPr>
              <w:spacing w:before="0" w:after="0"/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CC7A3C">
              <w:rPr>
                <w:rFonts w:cs="Arial"/>
                <w:b/>
                <w:bCs/>
                <w:sz w:val="20"/>
                <w:szCs w:val="20"/>
              </w:rPr>
              <w:t>Vodovodní přípojky</w:t>
            </w:r>
          </w:p>
        </w:tc>
        <w:tc>
          <w:tcPr>
            <w:tcW w:w="14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C33746" w:rsidRPr="00CC7A3C" w:rsidRDefault="00C33746" w:rsidP="00C33746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265EF" w:rsidRPr="006627CB" w:rsidTr="00C33746">
        <w:trPr>
          <w:trHeight w:val="368"/>
        </w:trPr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spacing w:before="0" w:after="0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723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pStyle w:val="Odstavecseseznamem"/>
              <w:numPr>
                <w:ilvl w:val="0"/>
                <w:numId w:val="14"/>
              </w:numPr>
              <w:spacing w:before="0" w:after="0"/>
              <w:ind w:left="213" w:hanging="213"/>
              <w:rPr>
                <w:rFonts w:cs="Arial"/>
                <w:sz w:val="20"/>
              </w:rPr>
            </w:pPr>
            <w:r w:rsidRPr="00CC7A3C">
              <w:rPr>
                <w:rFonts w:cs="Arial"/>
                <w:sz w:val="20"/>
              </w:rPr>
              <w:t>tvárná litina DN 80 s vnitřní cementovou vystýlkou a vnější těžkou protikorozní ochranou PE povlakem</w:t>
            </w:r>
          </w:p>
        </w:tc>
        <w:tc>
          <w:tcPr>
            <w:tcW w:w="14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E265EF" w:rsidRPr="00CC7A3C" w:rsidRDefault="00B71C76" w:rsidP="00E265EF">
            <w:pPr>
              <w:spacing w:before="0" w:after="0"/>
              <w:ind w:left="0"/>
              <w:contextualSpacing/>
              <w:jc w:val="right"/>
              <w:rPr>
                <w:rFonts w:cs="Arial"/>
                <w:sz w:val="20"/>
                <w:szCs w:val="20"/>
              </w:rPr>
            </w:pPr>
            <w:r w:rsidRPr="00CC7A3C">
              <w:rPr>
                <w:rFonts w:cs="Arial"/>
                <w:sz w:val="20"/>
                <w:szCs w:val="20"/>
              </w:rPr>
              <w:t>8</w:t>
            </w:r>
            <w:r w:rsidR="00E265EF" w:rsidRPr="00CC7A3C">
              <w:rPr>
                <w:rFonts w:cs="Arial"/>
                <w:sz w:val="20"/>
                <w:szCs w:val="20"/>
              </w:rPr>
              <w:t>,</w:t>
            </w:r>
            <w:r w:rsidRPr="00CC7A3C">
              <w:rPr>
                <w:rFonts w:cs="Arial"/>
                <w:sz w:val="20"/>
                <w:szCs w:val="20"/>
              </w:rPr>
              <w:t>3</w:t>
            </w:r>
            <w:r w:rsidR="00E265EF" w:rsidRPr="00CC7A3C">
              <w:rPr>
                <w:rFonts w:cs="Arial"/>
                <w:sz w:val="20"/>
                <w:szCs w:val="20"/>
              </w:rPr>
              <w:t xml:space="preserve"> m</w:t>
            </w:r>
          </w:p>
        </w:tc>
      </w:tr>
      <w:tr w:rsidR="00E265EF" w:rsidRPr="006627CB" w:rsidTr="00C33746">
        <w:trPr>
          <w:trHeight w:val="368"/>
        </w:trPr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spacing w:before="0" w:after="0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723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pStyle w:val="Odstavecseseznamem"/>
              <w:numPr>
                <w:ilvl w:val="0"/>
                <w:numId w:val="14"/>
              </w:numPr>
              <w:spacing w:before="0" w:after="0"/>
              <w:ind w:left="213" w:hanging="213"/>
              <w:rPr>
                <w:rFonts w:cs="Arial"/>
                <w:sz w:val="20"/>
              </w:rPr>
            </w:pPr>
            <w:r w:rsidRPr="00CC7A3C">
              <w:rPr>
                <w:rFonts w:cs="Arial"/>
                <w:sz w:val="20"/>
              </w:rPr>
              <w:t>PE100 – SDR11 – 90x8,2 mm</w:t>
            </w:r>
          </w:p>
        </w:tc>
        <w:tc>
          <w:tcPr>
            <w:tcW w:w="14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E265EF" w:rsidRPr="00CC7A3C" w:rsidRDefault="000C5BE4" w:rsidP="00E265EF">
            <w:pPr>
              <w:spacing w:before="0" w:after="0"/>
              <w:ind w:left="0"/>
              <w:contextualSpacing/>
              <w:jc w:val="right"/>
              <w:rPr>
                <w:rFonts w:cs="Arial"/>
                <w:sz w:val="20"/>
                <w:szCs w:val="20"/>
              </w:rPr>
            </w:pPr>
            <w:r w:rsidRPr="00CC7A3C">
              <w:rPr>
                <w:rFonts w:cs="Arial"/>
                <w:sz w:val="20"/>
                <w:szCs w:val="20"/>
              </w:rPr>
              <w:t>1</w:t>
            </w:r>
            <w:r w:rsidR="00E265EF" w:rsidRPr="00CC7A3C">
              <w:rPr>
                <w:rFonts w:cs="Arial"/>
                <w:sz w:val="20"/>
                <w:szCs w:val="20"/>
              </w:rPr>
              <w:t>,</w:t>
            </w:r>
            <w:r w:rsidRPr="00CC7A3C">
              <w:rPr>
                <w:rFonts w:cs="Arial"/>
                <w:sz w:val="20"/>
                <w:szCs w:val="20"/>
              </w:rPr>
              <w:t>3</w:t>
            </w:r>
            <w:r w:rsidR="00E265EF" w:rsidRPr="00CC7A3C">
              <w:rPr>
                <w:rFonts w:cs="Arial"/>
                <w:sz w:val="20"/>
                <w:szCs w:val="20"/>
              </w:rPr>
              <w:t xml:space="preserve"> m</w:t>
            </w:r>
          </w:p>
        </w:tc>
      </w:tr>
      <w:tr w:rsidR="00E265EF" w:rsidRPr="006627CB" w:rsidTr="00C33746">
        <w:trPr>
          <w:trHeight w:val="368"/>
        </w:trPr>
        <w:tc>
          <w:tcPr>
            <w:tcW w:w="1134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spacing w:before="0" w:after="0"/>
              <w:jc w:val="right"/>
              <w:rPr>
                <w:rFonts w:cs="Arial"/>
                <w:bCs/>
                <w:sz w:val="20"/>
              </w:rPr>
            </w:pPr>
            <w:bookmarkStart w:id="11" w:name="_GoBack"/>
            <w:bookmarkEnd w:id="11"/>
          </w:p>
        </w:tc>
        <w:tc>
          <w:tcPr>
            <w:tcW w:w="7230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shd w:val="clear" w:color="auto" w:fill="auto"/>
            <w:noWrap/>
            <w:vAlign w:val="center"/>
          </w:tcPr>
          <w:p w:rsidR="00E265EF" w:rsidRPr="00CC7A3C" w:rsidRDefault="00E265EF" w:rsidP="00E265EF">
            <w:pPr>
              <w:pStyle w:val="Odstavecseseznamem"/>
              <w:numPr>
                <w:ilvl w:val="0"/>
                <w:numId w:val="14"/>
              </w:numPr>
              <w:spacing w:before="0" w:after="0"/>
              <w:ind w:left="213" w:hanging="213"/>
              <w:rPr>
                <w:rFonts w:cs="Arial"/>
                <w:sz w:val="20"/>
              </w:rPr>
            </w:pPr>
            <w:r w:rsidRPr="00CC7A3C">
              <w:rPr>
                <w:rFonts w:cs="Arial"/>
                <w:sz w:val="20"/>
              </w:rPr>
              <w:t xml:space="preserve">PE100 – SDR11 – </w:t>
            </w:r>
            <w:r w:rsidR="001C51EA" w:rsidRPr="00CC7A3C">
              <w:rPr>
                <w:rFonts w:cs="Arial"/>
                <w:sz w:val="20"/>
              </w:rPr>
              <w:t>63</w:t>
            </w:r>
            <w:r w:rsidRPr="00CC7A3C">
              <w:rPr>
                <w:rFonts w:cs="Arial"/>
                <w:sz w:val="20"/>
              </w:rPr>
              <w:t>x</w:t>
            </w:r>
            <w:r w:rsidR="001C51EA" w:rsidRPr="00CC7A3C">
              <w:rPr>
                <w:rFonts w:cs="Arial"/>
                <w:sz w:val="20"/>
              </w:rPr>
              <w:t>5</w:t>
            </w:r>
            <w:r w:rsidRPr="00CC7A3C">
              <w:rPr>
                <w:rFonts w:cs="Arial"/>
                <w:sz w:val="20"/>
              </w:rPr>
              <w:t>,</w:t>
            </w:r>
            <w:r w:rsidR="001C51EA" w:rsidRPr="00CC7A3C">
              <w:rPr>
                <w:rFonts w:cs="Arial"/>
                <w:sz w:val="20"/>
              </w:rPr>
              <w:t>8</w:t>
            </w:r>
            <w:r w:rsidRPr="00CC7A3C">
              <w:rPr>
                <w:rFonts w:cs="Arial"/>
                <w:sz w:val="20"/>
              </w:rPr>
              <w:t xml:space="preserve"> mm</w:t>
            </w:r>
          </w:p>
        </w:tc>
        <w:tc>
          <w:tcPr>
            <w:tcW w:w="1417" w:type="dxa"/>
            <w:tcBorders>
              <w:top w:val="single" w:sz="8" w:space="0" w:color="A5A5A5" w:themeColor="accent3"/>
              <w:left w:val="single" w:sz="8" w:space="0" w:color="A5A5A5" w:themeColor="accent3"/>
              <w:bottom w:val="single" w:sz="8" w:space="0" w:color="A5A5A5" w:themeColor="accent3"/>
              <w:right w:val="single" w:sz="8" w:space="0" w:color="A5A5A5" w:themeColor="accent3"/>
            </w:tcBorders>
            <w:vAlign w:val="center"/>
          </w:tcPr>
          <w:p w:rsidR="00E265EF" w:rsidRPr="00CC7A3C" w:rsidRDefault="00B71C76" w:rsidP="00E265EF">
            <w:pPr>
              <w:spacing w:before="0" w:after="0"/>
              <w:ind w:left="0"/>
              <w:contextualSpacing/>
              <w:jc w:val="right"/>
              <w:rPr>
                <w:rFonts w:cs="Arial"/>
                <w:sz w:val="20"/>
                <w:szCs w:val="20"/>
              </w:rPr>
            </w:pPr>
            <w:r w:rsidRPr="00CC7A3C">
              <w:rPr>
                <w:rFonts w:cs="Arial"/>
                <w:sz w:val="20"/>
                <w:szCs w:val="20"/>
              </w:rPr>
              <w:t>8</w:t>
            </w:r>
            <w:r w:rsidR="00E265EF" w:rsidRPr="00CC7A3C">
              <w:rPr>
                <w:rFonts w:cs="Arial"/>
                <w:sz w:val="20"/>
                <w:szCs w:val="20"/>
              </w:rPr>
              <w:t>,</w:t>
            </w:r>
            <w:r w:rsidRPr="00CC7A3C">
              <w:rPr>
                <w:rFonts w:cs="Arial"/>
                <w:sz w:val="20"/>
                <w:szCs w:val="20"/>
              </w:rPr>
              <w:t>3</w:t>
            </w:r>
            <w:r w:rsidR="00E265EF" w:rsidRPr="00CC7A3C">
              <w:rPr>
                <w:rFonts w:cs="Arial"/>
                <w:sz w:val="20"/>
                <w:szCs w:val="20"/>
              </w:rPr>
              <w:t xml:space="preserve"> m</w:t>
            </w:r>
          </w:p>
        </w:tc>
      </w:tr>
    </w:tbl>
    <w:p w:rsidR="00C33746" w:rsidRDefault="00C33746" w:rsidP="00C33746">
      <w:pPr>
        <w:pStyle w:val="Nadpis4"/>
        <w:numPr>
          <w:ilvl w:val="0"/>
          <w:numId w:val="0"/>
        </w:numPr>
        <w:ind w:left="426"/>
      </w:pPr>
    </w:p>
    <w:p w:rsidR="00AF53A8" w:rsidRPr="00D93952" w:rsidRDefault="00AF53A8" w:rsidP="00C33746">
      <w:pPr>
        <w:pStyle w:val="Nadpis4"/>
        <w:numPr>
          <w:ilvl w:val="0"/>
          <w:numId w:val="5"/>
        </w:numPr>
        <w:ind w:left="426" w:hanging="426"/>
      </w:pPr>
      <w:r w:rsidRPr="00D93952">
        <w:t>Základní bilance stavby – potřeby a spotřeby médií a hmot, hospodaření s dešťovou vodou, celkové produkované množství a druhy odpadů a emisí, třída energetické náročnosti budov apod.</w:t>
      </w:r>
      <w:bookmarkEnd w:id="9"/>
    </w:p>
    <w:p w:rsidR="00AF53A8" w:rsidRPr="00D93952" w:rsidRDefault="00ED44FC" w:rsidP="00ED44FC">
      <w:pPr>
        <w:ind w:left="0"/>
      </w:pPr>
      <w:r w:rsidRPr="00D93952">
        <w:t>Netýká se.</w:t>
      </w:r>
    </w:p>
    <w:p w:rsidR="00AF53A8" w:rsidRPr="00D93952" w:rsidRDefault="00AF53A8" w:rsidP="00ED44FC">
      <w:pPr>
        <w:pStyle w:val="Nadpis4"/>
        <w:numPr>
          <w:ilvl w:val="0"/>
          <w:numId w:val="5"/>
        </w:numPr>
        <w:ind w:left="426" w:hanging="426"/>
      </w:pPr>
      <w:bookmarkStart w:id="12" w:name="_Toc505187574"/>
      <w:r w:rsidRPr="00D93952">
        <w:t>Základní předpoklady výstavby – časové údaje o realizaci stavby</w:t>
      </w:r>
      <w:r w:rsidR="00307869" w:rsidRPr="00D93952">
        <w:t>,</w:t>
      </w:r>
      <w:r w:rsidRPr="00D93952">
        <w:t xml:space="preserve"> členění na etapy</w:t>
      </w:r>
      <w:bookmarkEnd w:id="12"/>
      <w:r w:rsidR="00C33746">
        <w:t>.</w:t>
      </w:r>
    </w:p>
    <w:p w:rsidR="00ED44FC" w:rsidRPr="00D93952" w:rsidRDefault="00900493" w:rsidP="00ED44FC">
      <w:pPr>
        <w:ind w:left="0"/>
      </w:pPr>
      <w:r w:rsidRPr="00900493">
        <w:t>Stavba bude realizována společně se stavbou protipovodňových opatření města Brna – etapa VII a VIII.</w:t>
      </w:r>
    </w:p>
    <w:p w:rsidR="00AF53A8" w:rsidRPr="00D93952" w:rsidRDefault="00AF53A8" w:rsidP="00ED44FC">
      <w:pPr>
        <w:pStyle w:val="Nadpis4"/>
        <w:numPr>
          <w:ilvl w:val="0"/>
          <w:numId w:val="5"/>
        </w:numPr>
        <w:ind w:left="426" w:hanging="426"/>
      </w:pPr>
      <w:bookmarkStart w:id="13" w:name="_Toc505187575"/>
      <w:r w:rsidRPr="00D93952">
        <w:t>Orientační náklady stavby</w:t>
      </w:r>
      <w:bookmarkEnd w:id="13"/>
      <w:r w:rsidRPr="00D93952">
        <w:t>.</w:t>
      </w:r>
    </w:p>
    <w:p w:rsidR="00ED44FC" w:rsidRDefault="00ED44FC" w:rsidP="00A6541F">
      <w:pPr>
        <w:ind w:left="0"/>
      </w:pPr>
      <w:r w:rsidRPr="00D93952">
        <w:t>Informace o nákladech stavby jsou uvedeny v samostatné příloze pro potřebu investora.</w:t>
      </w:r>
    </w:p>
    <w:p w:rsidR="006A0DC7" w:rsidRDefault="006A0DC7" w:rsidP="006A0DC7">
      <w:pPr>
        <w:ind w:left="0"/>
      </w:pPr>
    </w:p>
    <w:p w:rsidR="00D3695B" w:rsidRPr="009E4E02" w:rsidRDefault="00D3695B" w:rsidP="00F96C38">
      <w:pPr>
        <w:ind w:hanging="851"/>
      </w:pPr>
    </w:p>
    <w:p w:rsidR="00D3695B" w:rsidRPr="009E4E02" w:rsidRDefault="00D3695B" w:rsidP="00F96C38">
      <w:pPr>
        <w:ind w:hanging="851"/>
      </w:pPr>
    </w:p>
    <w:p w:rsidR="00D3695B" w:rsidRPr="009E4E02" w:rsidRDefault="00D3695B" w:rsidP="00F96C38">
      <w:pPr>
        <w:ind w:hanging="851"/>
      </w:pPr>
    </w:p>
    <w:p w:rsidR="00AA7AFE" w:rsidRPr="009E4E02" w:rsidRDefault="00AA7AFE" w:rsidP="00FB0616"/>
    <w:p w:rsidR="00D3695B" w:rsidRPr="009E4E02" w:rsidRDefault="00D3695B" w:rsidP="00F96C38">
      <w:pPr>
        <w:ind w:hanging="851"/>
      </w:pPr>
    </w:p>
    <w:p w:rsidR="00D3695B" w:rsidRPr="009E4E02" w:rsidRDefault="00D3695B" w:rsidP="005267EB">
      <w:pPr>
        <w:ind w:left="0"/>
      </w:pPr>
    </w:p>
    <w:p w:rsidR="006A0DC7" w:rsidRDefault="00F96C38" w:rsidP="00B3138D">
      <w:pPr>
        <w:ind w:hanging="851"/>
      </w:pPr>
      <w:r w:rsidRPr="009E4E02">
        <w:t xml:space="preserve">V Brně, </w:t>
      </w:r>
      <w:r w:rsidR="00777282">
        <w:t>srpen</w:t>
      </w:r>
      <w:r w:rsidR="005267EB">
        <w:t xml:space="preserve"> </w:t>
      </w:r>
      <w:r w:rsidRPr="009E4E02">
        <w:t>202</w:t>
      </w:r>
      <w:r w:rsidR="00C33746">
        <w:t>3</w:t>
      </w:r>
      <w:r w:rsidR="009D7E19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5267EB">
        <w:t xml:space="preserve">  </w:t>
      </w:r>
      <w:r w:rsidR="00777282">
        <w:t xml:space="preserve">           </w:t>
      </w:r>
      <w:r w:rsidR="00060AE4">
        <w:t xml:space="preserve"> </w:t>
      </w:r>
      <w:r w:rsidRPr="009E4E02">
        <w:t xml:space="preserve">Ing. </w:t>
      </w:r>
      <w:r w:rsidR="00A95EF4">
        <w:t>Tomáš Frajt</w:t>
      </w:r>
    </w:p>
    <w:sectPr w:rsidR="006A0DC7" w:rsidSect="0062348E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3D3" w:rsidRDefault="001513D3" w:rsidP="00AF53A8">
      <w:pPr>
        <w:spacing w:after="0"/>
      </w:pPr>
      <w:r>
        <w:separator/>
      </w:r>
    </w:p>
  </w:endnote>
  <w:endnote w:type="continuationSeparator" w:id="0">
    <w:p w:rsidR="001513D3" w:rsidRDefault="001513D3" w:rsidP="00AF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19F" w:rsidRDefault="0057519F" w:rsidP="009F6B39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57519F" w:rsidRDefault="0057519F" w:rsidP="00C171B0">
    <w:pPr>
      <w:pStyle w:val="Zpat"/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r>
      <w:rPr>
        <w:rFonts w:cs="Arial"/>
        <w:caps w:val="0"/>
        <w:sz w:val="20"/>
        <w:szCs w:val="20"/>
      </w:rPr>
      <w:t>smart, s.r.o.</w:t>
    </w:r>
    <w:r w:rsidRPr="002B2B13">
      <w:tab/>
    </w:r>
    <w:r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Pr="002B2B13">
      <w:t>/</w:t>
    </w:r>
    <w:fldSimple w:instr=" NUMPAGES   \* MERGEFORMAT 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3D3" w:rsidRDefault="001513D3" w:rsidP="00AF53A8">
      <w:pPr>
        <w:spacing w:after="0"/>
      </w:pPr>
      <w:r>
        <w:separator/>
      </w:r>
    </w:p>
  </w:footnote>
  <w:footnote w:type="continuationSeparator" w:id="0">
    <w:p w:rsidR="001513D3" w:rsidRDefault="001513D3" w:rsidP="00AF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5F8" w:rsidRPr="00C33746" w:rsidRDefault="00CE45F8" w:rsidP="00C33746">
    <w:pPr>
      <w:pStyle w:val="Zhlav"/>
      <w:tabs>
        <w:tab w:val="left" w:pos="993"/>
      </w:tabs>
      <w:ind w:left="0"/>
      <w:rPr>
        <w:rFonts w:cs="Arial"/>
        <w:sz w:val="20"/>
        <w:szCs w:val="20"/>
      </w:rPr>
    </w:pPr>
    <w:bookmarkStart w:id="14" w:name="_Hlk57479918"/>
    <w:bookmarkStart w:id="15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D5E516" wp14:editId="14C2672B">
          <wp:simplePos x="0" y="0"/>
          <wp:positionH relativeFrom="column">
            <wp:posOffset>4680585</wp:posOffset>
          </wp:positionH>
          <wp:positionV relativeFrom="paragraph">
            <wp:posOffset>-71755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3746">
      <w:rPr>
        <w:rFonts w:cs="Arial"/>
        <w:sz w:val="20"/>
        <w:szCs w:val="20"/>
      </w:rPr>
      <w:t>Brno, Táborského nábřeží – drobná rekonstrukce vodovodu</w:t>
    </w:r>
  </w:p>
  <w:p w:rsidR="0057519F" w:rsidRDefault="00CE45F8" w:rsidP="00CE45F8">
    <w:pPr>
      <w:pStyle w:val="Zhlav"/>
      <w:tabs>
        <w:tab w:val="clear" w:pos="9072"/>
        <w:tab w:val="right" w:pos="7920"/>
      </w:tabs>
      <w:spacing w:before="60" w:after="60"/>
      <w:ind w:left="0" w:right="153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B. Souhrnná technická zpráva</w:t>
    </w:r>
    <w:r w:rsidR="0057519F" w:rsidRPr="00842EBE">
      <w:rPr>
        <w:rFonts w:cs="Arial"/>
        <w:sz w:val="18"/>
        <w:szCs w:val="18"/>
      </w:rPr>
      <w:tab/>
    </w:r>
    <w:r w:rsidR="0057519F" w:rsidRPr="00842EBE">
      <w:rPr>
        <w:rFonts w:cs="Arial"/>
        <w:sz w:val="18"/>
        <w:szCs w:val="18"/>
      </w:rPr>
      <w:tab/>
    </w:r>
  </w:p>
  <w:bookmarkEnd w:id="14"/>
  <w:bookmarkEnd w:id="15"/>
  <w:p w:rsidR="0057519F" w:rsidRPr="00C171B0" w:rsidRDefault="0057519F" w:rsidP="00C171B0">
    <w:pPr>
      <w:pStyle w:val="Zhlav-doln"/>
      <w:pBdr>
        <w:top w:val="single" w:sz="4" w:space="0" w:color="auto"/>
      </w:pBdr>
      <w:spacing w:before="0" w:after="120"/>
      <w:ind w:firstLine="0"/>
      <w:rPr>
        <w:iCs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93D5AAE"/>
    <w:multiLevelType w:val="hybridMultilevel"/>
    <w:tmpl w:val="2460C5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D0D47"/>
    <w:multiLevelType w:val="hybridMultilevel"/>
    <w:tmpl w:val="0C00C012"/>
    <w:lvl w:ilvl="0" w:tplc="EBBAF2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3F3"/>
    <w:multiLevelType w:val="hybridMultilevel"/>
    <w:tmpl w:val="47B2E7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1760DE"/>
    <w:multiLevelType w:val="hybridMultilevel"/>
    <w:tmpl w:val="CAFA6872"/>
    <w:lvl w:ilvl="0" w:tplc="39B091A0">
      <w:start w:val="1"/>
      <w:numFmt w:val="lowerLetter"/>
      <w:pStyle w:val="TZ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D3A08"/>
    <w:multiLevelType w:val="hybridMultilevel"/>
    <w:tmpl w:val="466C2460"/>
    <w:lvl w:ilvl="0" w:tplc="39B091A0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D544B21"/>
    <w:multiLevelType w:val="hybridMultilevel"/>
    <w:tmpl w:val="923472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F2FA56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00817"/>
    <w:multiLevelType w:val="multilevel"/>
    <w:tmpl w:val="F6B2C38E"/>
    <w:lvl w:ilvl="0">
      <w:start w:val="2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3"/>
  </w:num>
  <w:num w:numId="14">
    <w:abstractNumId w:val="1"/>
  </w:num>
  <w:num w:numId="15">
    <w:abstractNumId w:val="2"/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6"/>
  </w:num>
  <w:num w:numId="24">
    <w:abstractNumId w:val="0"/>
  </w:num>
  <w:num w:numId="25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A8"/>
    <w:rsid w:val="00005960"/>
    <w:rsid w:val="00027470"/>
    <w:rsid w:val="00027975"/>
    <w:rsid w:val="00027F0A"/>
    <w:rsid w:val="000337EA"/>
    <w:rsid w:val="00051F8C"/>
    <w:rsid w:val="00060AE4"/>
    <w:rsid w:val="000711DD"/>
    <w:rsid w:val="0007386B"/>
    <w:rsid w:val="0007599C"/>
    <w:rsid w:val="00082AD4"/>
    <w:rsid w:val="00084FDD"/>
    <w:rsid w:val="00085405"/>
    <w:rsid w:val="00094A2E"/>
    <w:rsid w:val="000963A0"/>
    <w:rsid w:val="000A3C97"/>
    <w:rsid w:val="000B17E1"/>
    <w:rsid w:val="000C5BE4"/>
    <w:rsid w:val="000D1D0F"/>
    <w:rsid w:val="000D64B2"/>
    <w:rsid w:val="00101B9C"/>
    <w:rsid w:val="001513D3"/>
    <w:rsid w:val="0015304B"/>
    <w:rsid w:val="00176173"/>
    <w:rsid w:val="00176E09"/>
    <w:rsid w:val="00183D99"/>
    <w:rsid w:val="0019420D"/>
    <w:rsid w:val="001A0E7B"/>
    <w:rsid w:val="001A46DE"/>
    <w:rsid w:val="001C487F"/>
    <w:rsid w:val="001C51EA"/>
    <w:rsid w:val="001C607C"/>
    <w:rsid w:val="001D3943"/>
    <w:rsid w:val="001D4DB0"/>
    <w:rsid w:val="001E03F6"/>
    <w:rsid w:val="00211EB3"/>
    <w:rsid w:val="00220E94"/>
    <w:rsid w:val="00241018"/>
    <w:rsid w:val="00243775"/>
    <w:rsid w:val="0024677A"/>
    <w:rsid w:val="00254C47"/>
    <w:rsid w:val="002808B4"/>
    <w:rsid w:val="0028486B"/>
    <w:rsid w:val="00295A59"/>
    <w:rsid w:val="002A32AF"/>
    <w:rsid w:val="002A6E5C"/>
    <w:rsid w:val="002B1C5C"/>
    <w:rsid w:val="002B3B03"/>
    <w:rsid w:val="002D0C22"/>
    <w:rsid w:val="002D5F79"/>
    <w:rsid w:val="002D7CE9"/>
    <w:rsid w:val="002E6EA0"/>
    <w:rsid w:val="00306C44"/>
    <w:rsid w:val="00307869"/>
    <w:rsid w:val="0031168D"/>
    <w:rsid w:val="00343B09"/>
    <w:rsid w:val="00364BE6"/>
    <w:rsid w:val="003739E2"/>
    <w:rsid w:val="0037629B"/>
    <w:rsid w:val="00380AE1"/>
    <w:rsid w:val="003922D7"/>
    <w:rsid w:val="003A095D"/>
    <w:rsid w:val="003F6B3A"/>
    <w:rsid w:val="0040200F"/>
    <w:rsid w:val="00420A13"/>
    <w:rsid w:val="00433F4C"/>
    <w:rsid w:val="00444398"/>
    <w:rsid w:val="0044708D"/>
    <w:rsid w:val="0045056E"/>
    <w:rsid w:val="00460682"/>
    <w:rsid w:val="004638C3"/>
    <w:rsid w:val="00490D3B"/>
    <w:rsid w:val="004934F0"/>
    <w:rsid w:val="00495A8F"/>
    <w:rsid w:val="004A37C4"/>
    <w:rsid w:val="004B38B0"/>
    <w:rsid w:val="004B4241"/>
    <w:rsid w:val="004D2469"/>
    <w:rsid w:val="004D25F3"/>
    <w:rsid w:val="004D3FA1"/>
    <w:rsid w:val="004D71E5"/>
    <w:rsid w:val="004E469F"/>
    <w:rsid w:val="00500055"/>
    <w:rsid w:val="005055A0"/>
    <w:rsid w:val="0051403F"/>
    <w:rsid w:val="00515667"/>
    <w:rsid w:val="00525F7D"/>
    <w:rsid w:val="005267EB"/>
    <w:rsid w:val="00537F8D"/>
    <w:rsid w:val="00547577"/>
    <w:rsid w:val="00560BA0"/>
    <w:rsid w:val="0057519F"/>
    <w:rsid w:val="00581465"/>
    <w:rsid w:val="005914A9"/>
    <w:rsid w:val="00591A5C"/>
    <w:rsid w:val="00594F9E"/>
    <w:rsid w:val="0059627E"/>
    <w:rsid w:val="005A1A68"/>
    <w:rsid w:val="005C3351"/>
    <w:rsid w:val="005C355C"/>
    <w:rsid w:val="005C54CF"/>
    <w:rsid w:val="005D5305"/>
    <w:rsid w:val="005D7A40"/>
    <w:rsid w:val="00604963"/>
    <w:rsid w:val="00610DAA"/>
    <w:rsid w:val="00610F4A"/>
    <w:rsid w:val="00611029"/>
    <w:rsid w:val="0061785D"/>
    <w:rsid w:val="006227E8"/>
    <w:rsid w:val="0062348E"/>
    <w:rsid w:val="006306D7"/>
    <w:rsid w:val="00641625"/>
    <w:rsid w:val="00656D70"/>
    <w:rsid w:val="006627CB"/>
    <w:rsid w:val="00662F21"/>
    <w:rsid w:val="006A0331"/>
    <w:rsid w:val="006A0DC7"/>
    <w:rsid w:val="006A658B"/>
    <w:rsid w:val="006C4052"/>
    <w:rsid w:val="006C73FD"/>
    <w:rsid w:val="006D59D0"/>
    <w:rsid w:val="006D5CA3"/>
    <w:rsid w:val="006E093C"/>
    <w:rsid w:val="006E09FC"/>
    <w:rsid w:val="00702060"/>
    <w:rsid w:val="007026FB"/>
    <w:rsid w:val="00737F04"/>
    <w:rsid w:val="00747E9D"/>
    <w:rsid w:val="00753F4E"/>
    <w:rsid w:val="00777282"/>
    <w:rsid w:val="007950BF"/>
    <w:rsid w:val="007A283C"/>
    <w:rsid w:val="007B6D8C"/>
    <w:rsid w:val="007B77CB"/>
    <w:rsid w:val="007C0033"/>
    <w:rsid w:val="007E7759"/>
    <w:rsid w:val="008039DE"/>
    <w:rsid w:val="00804E4F"/>
    <w:rsid w:val="008059EC"/>
    <w:rsid w:val="00833907"/>
    <w:rsid w:val="00834A43"/>
    <w:rsid w:val="008568DA"/>
    <w:rsid w:val="00870FB9"/>
    <w:rsid w:val="00881758"/>
    <w:rsid w:val="00893650"/>
    <w:rsid w:val="008A2BDD"/>
    <w:rsid w:val="008A3532"/>
    <w:rsid w:val="008D1D7E"/>
    <w:rsid w:val="008D3CD5"/>
    <w:rsid w:val="008E0554"/>
    <w:rsid w:val="008E354C"/>
    <w:rsid w:val="008F0854"/>
    <w:rsid w:val="008F0FB9"/>
    <w:rsid w:val="00900493"/>
    <w:rsid w:val="0090405D"/>
    <w:rsid w:val="00912D4A"/>
    <w:rsid w:val="0091750C"/>
    <w:rsid w:val="009201DF"/>
    <w:rsid w:val="009317A7"/>
    <w:rsid w:val="00931FF2"/>
    <w:rsid w:val="00932F55"/>
    <w:rsid w:val="00933E30"/>
    <w:rsid w:val="00954653"/>
    <w:rsid w:val="009557BC"/>
    <w:rsid w:val="0096046C"/>
    <w:rsid w:val="00960B6E"/>
    <w:rsid w:val="00973100"/>
    <w:rsid w:val="00973BD5"/>
    <w:rsid w:val="009747B7"/>
    <w:rsid w:val="00993373"/>
    <w:rsid w:val="009A0001"/>
    <w:rsid w:val="009D4967"/>
    <w:rsid w:val="009D7E19"/>
    <w:rsid w:val="009E125A"/>
    <w:rsid w:val="009E445F"/>
    <w:rsid w:val="009E4E02"/>
    <w:rsid w:val="009E525B"/>
    <w:rsid w:val="009F6B39"/>
    <w:rsid w:val="00A07EF6"/>
    <w:rsid w:val="00A16E41"/>
    <w:rsid w:val="00A47F39"/>
    <w:rsid w:val="00A515F1"/>
    <w:rsid w:val="00A632CA"/>
    <w:rsid w:val="00A6541F"/>
    <w:rsid w:val="00A6688E"/>
    <w:rsid w:val="00A6781A"/>
    <w:rsid w:val="00A728E7"/>
    <w:rsid w:val="00A869DC"/>
    <w:rsid w:val="00A95EF4"/>
    <w:rsid w:val="00AA7AFE"/>
    <w:rsid w:val="00AC5BC9"/>
    <w:rsid w:val="00AD5C13"/>
    <w:rsid w:val="00AE13D7"/>
    <w:rsid w:val="00AE7661"/>
    <w:rsid w:val="00AF1907"/>
    <w:rsid w:val="00AF53A8"/>
    <w:rsid w:val="00B02E9B"/>
    <w:rsid w:val="00B05551"/>
    <w:rsid w:val="00B1207C"/>
    <w:rsid w:val="00B2390D"/>
    <w:rsid w:val="00B279D0"/>
    <w:rsid w:val="00B3138D"/>
    <w:rsid w:val="00B54433"/>
    <w:rsid w:val="00B71C76"/>
    <w:rsid w:val="00B927B2"/>
    <w:rsid w:val="00B938E9"/>
    <w:rsid w:val="00BA3E8B"/>
    <w:rsid w:val="00BA787C"/>
    <w:rsid w:val="00BB0CA3"/>
    <w:rsid w:val="00BB7885"/>
    <w:rsid w:val="00BD087A"/>
    <w:rsid w:val="00BF2ED0"/>
    <w:rsid w:val="00C0296C"/>
    <w:rsid w:val="00C171B0"/>
    <w:rsid w:val="00C17D79"/>
    <w:rsid w:val="00C20F41"/>
    <w:rsid w:val="00C21130"/>
    <w:rsid w:val="00C26F32"/>
    <w:rsid w:val="00C33746"/>
    <w:rsid w:val="00C42E60"/>
    <w:rsid w:val="00C5584C"/>
    <w:rsid w:val="00C55EFC"/>
    <w:rsid w:val="00C86801"/>
    <w:rsid w:val="00CA352B"/>
    <w:rsid w:val="00CA44A8"/>
    <w:rsid w:val="00CA7392"/>
    <w:rsid w:val="00CC4791"/>
    <w:rsid w:val="00CC6469"/>
    <w:rsid w:val="00CC7A3C"/>
    <w:rsid w:val="00CD0091"/>
    <w:rsid w:val="00CE45F8"/>
    <w:rsid w:val="00CF0604"/>
    <w:rsid w:val="00CF11A2"/>
    <w:rsid w:val="00D20F20"/>
    <w:rsid w:val="00D34898"/>
    <w:rsid w:val="00D3695B"/>
    <w:rsid w:val="00D40F89"/>
    <w:rsid w:val="00D4485D"/>
    <w:rsid w:val="00D73BDF"/>
    <w:rsid w:val="00D8020E"/>
    <w:rsid w:val="00D84145"/>
    <w:rsid w:val="00D86C41"/>
    <w:rsid w:val="00D91526"/>
    <w:rsid w:val="00D93952"/>
    <w:rsid w:val="00D94058"/>
    <w:rsid w:val="00DB2317"/>
    <w:rsid w:val="00DC696D"/>
    <w:rsid w:val="00DD5CE6"/>
    <w:rsid w:val="00DF25D3"/>
    <w:rsid w:val="00E06E4B"/>
    <w:rsid w:val="00E265EF"/>
    <w:rsid w:val="00E6126F"/>
    <w:rsid w:val="00E65086"/>
    <w:rsid w:val="00E652E5"/>
    <w:rsid w:val="00E8080E"/>
    <w:rsid w:val="00E86D15"/>
    <w:rsid w:val="00E93268"/>
    <w:rsid w:val="00EA773C"/>
    <w:rsid w:val="00EB0CFA"/>
    <w:rsid w:val="00ED1DBF"/>
    <w:rsid w:val="00ED44FC"/>
    <w:rsid w:val="00ED7812"/>
    <w:rsid w:val="00F1194D"/>
    <w:rsid w:val="00F33D11"/>
    <w:rsid w:val="00F3493B"/>
    <w:rsid w:val="00F35402"/>
    <w:rsid w:val="00F35991"/>
    <w:rsid w:val="00F50F33"/>
    <w:rsid w:val="00F638C0"/>
    <w:rsid w:val="00F717CE"/>
    <w:rsid w:val="00F76EE1"/>
    <w:rsid w:val="00F96C38"/>
    <w:rsid w:val="00FA6E8D"/>
    <w:rsid w:val="00FB0616"/>
    <w:rsid w:val="00FB3309"/>
    <w:rsid w:val="00FC121F"/>
    <w:rsid w:val="00FC1CF5"/>
    <w:rsid w:val="00F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D8578"/>
  <w15:chartTrackingRefBased/>
  <w15:docId w15:val="{52B852CF-1401-4A06-81D9-05D8C0F5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5CE6"/>
    <w:pPr>
      <w:spacing w:before="120" w:after="120" w:line="240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0337EA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73BD5"/>
    <w:pPr>
      <w:numPr>
        <w:ilvl w:val="1"/>
      </w:numPr>
      <w:spacing w:before="240" w:after="12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AF53A8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nhideWhenUsed/>
    <w:qFormat/>
    <w:rsid w:val="0015304B"/>
    <w:pPr>
      <w:numPr>
        <w:numId w:val="2"/>
      </w:numPr>
      <w:outlineLvl w:val="3"/>
    </w:pPr>
    <w:rPr>
      <w:b/>
    </w:rPr>
  </w:style>
  <w:style w:type="paragraph" w:styleId="Nadpis5">
    <w:name w:val="heading 5"/>
    <w:basedOn w:val="Bezmezer"/>
    <w:next w:val="Normln"/>
    <w:link w:val="Nadpis5Char"/>
    <w:unhideWhenUsed/>
    <w:qFormat/>
    <w:rsid w:val="00AF53A8"/>
    <w:pPr>
      <w:numPr>
        <w:numId w:val="3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37EA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73BD5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AF53A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Odstavecseseznamem">
    <w:name w:val="List Paragraph"/>
    <w:basedOn w:val="Normln"/>
    <w:uiPriority w:val="34"/>
    <w:qFormat/>
    <w:rsid w:val="00AF53A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15304B"/>
    <w:rPr>
      <w:rFonts w:ascii="Arial" w:hAnsi="Arial"/>
      <w:b/>
    </w:rPr>
  </w:style>
  <w:style w:type="paragraph" w:styleId="Bezmezer">
    <w:name w:val="No Spacing"/>
    <w:link w:val="BezmezerChar"/>
    <w:uiPriority w:val="1"/>
    <w:qFormat/>
    <w:rsid w:val="00AF53A8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AF53A8"/>
    <w:rPr>
      <w:rFonts w:ascii="Century Gothic" w:hAnsi="Century Gothic"/>
      <w:sz w:val="20"/>
    </w:rPr>
  </w:style>
  <w:style w:type="character" w:customStyle="1" w:styleId="Nadpis5Char">
    <w:name w:val="Nadpis 5 Char"/>
    <w:basedOn w:val="Standardnpsmoodstavce"/>
    <w:link w:val="Nadpis5"/>
    <w:rsid w:val="00AF53A8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Zhlav">
    <w:name w:val="header"/>
    <w:aliases w:val="Záhlaví - horní, Char"/>
    <w:basedOn w:val="Normln"/>
    <w:link w:val="ZhlavChar"/>
    <w:unhideWhenUsed/>
    <w:rsid w:val="00AF53A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AF53A8"/>
    <w:rPr>
      <w:rFonts w:ascii="Century Gothic" w:hAnsi="Century Gothic"/>
      <w:sz w:val="20"/>
    </w:rPr>
  </w:style>
  <w:style w:type="paragraph" w:styleId="Zpat">
    <w:name w:val="footer"/>
    <w:basedOn w:val="Normln"/>
    <w:link w:val="ZpatChar"/>
    <w:uiPriority w:val="99"/>
    <w:unhideWhenUsed/>
    <w:rsid w:val="00AF53A8"/>
    <w:pPr>
      <w:tabs>
        <w:tab w:val="center" w:pos="4536"/>
        <w:tab w:val="right" w:pos="9072"/>
      </w:tabs>
      <w:spacing w:after="0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AF53A8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AF53A8"/>
  </w:style>
  <w:style w:type="paragraph" w:styleId="Nzev">
    <w:name w:val="Title"/>
    <w:basedOn w:val="Nadpis1"/>
    <w:next w:val="Normln"/>
    <w:link w:val="NzevChar"/>
    <w:uiPriority w:val="10"/>
    <w:qFormat/>
    <w:rsid w:val="00AF53A8"/>
  </w:style>
  <w:style w:type="character" w:customStyle="1" w:styleId="NzevChar">
    <w:name w:val="Název Char"/>
    <w:basedOn w:val="Standardnpsmoodstavce"/>
    <w:link w:val="Nzev"/>
    <w:uiPriority w:val="10"/>
    <w:rsid w:val="00AF53A8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paragraph" w:styleId="Citt">
    <w:name w:val="Quote"/>
    <w:basedOn w:val="Normln"/>
    <w:next w:val="Normln"/>
    <w:link w:val="CittChar"/>
    <w:uiPriority w:val="29"/>
    <w:qFormat/>
    <w:rsid w:val="00AF53A8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F53A8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53A8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53A8"/>
    <w:rPr>
      <w:rFonts w:ascii="Century Gothic" w:hAnsi="Century Gothic"/>
      <w:i/>
      <w:color w:val="0070C0"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3A8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3A8"/>
    <w:pPr>
      <w:spacing w:after="0"/>
    </w:pPr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AF53A8"/>
    <w:pPr>
      <w:spacing w:after="0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qFormat/>
    <w:rsid w:val="00AF53A8"/>
    <w:pPr>
      <w:spacing w:after="0"/>
      <w:ind w:left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F53A8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AF53A8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AF53A8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AF53A8"/>
    <w:pPr>
      <w:spacing w:after="100"/>
      <w:ind w:left="400"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AF53A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3A8"/>
    <w:rPr>
      <w:rFonts w:ascii="Century Gothic" w:hAnsi="Century Gothic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3A8"/>
    <w:rPr>
      <w:rFonts w:ascii="Century Gothic" w:hAnsi="Century Gothic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3A8"/>
    <w:rPr>
      <w:b/>
      <w:bCs/>
    </w:rPr>
  </w:style>
  <w:style w:type="paragraph" w:customStyle="1" w:styleId="TZnadpis3">
    <w:name w:val="TZ nadpis3"/>
    <w:basedOn w:val="Normln"/>
    <w:rsid w:val="00AF53A8"/>
    <w:pPr>
      <w:widowControl w:val="0"/>
      <w:numPr>
        <w:numId w:val="4"/>
      </w:numPr>
      <w:suppressAutoHyphens/>
      <w:spacing w:before="57" w:after="57"/>
      <w:textAlignment w:val="baseline"/>
    </w:pPr>
    <w:rPr>
      <w:rFonts w:eastAsia="Arial Unicode MS" w:cs="Times New Roman"/>
      <w:kern w:val="1"/>
      <w:sz w:val="16"/>
      <w:szCs w:val="20"/>
      <w:lang w:eastAsia="ar-SA"/>
    </w:rPr>
  </w:style>
  <w:style w:type="paragraph" w:styleId="Zkladntext">
    <w:name w:val="Body Text"/>
    <w:basedOn w:val="Normln"/>
    <w:link w:val="ZkladntextChar"/>
    <w:rsid w:val="00AF53A8"/>
    <w:pPr>
      <w:ind w:left="709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F53A8"/>
    <w:rPr>
      <w:rFonts w:ascii="Century Gothic" w:eastAsia="Times New Roman" w:hAnsi="Century Gothic" w:cs="Arial"/>
      <w:sz w:val="20"/>
      <w:lang w:eastAsia="cs-CZ"/>
    </w:rPr>
  </w:style>
  <w:style w:type="paragraph" w:styleId="Zkladntext3">
    <w:name w:val="Body Text 3"/>
    <w:basedOn w:val="Normln"/>
    <w:link w:val="Zkladntext3Char"/>
    <w:rsid w:val="00AF53A8"/>
    <w:pPr>
      <w:ind w:left="709"/>
    </w:pPr>
    <w:rPr>
      <w:rFonts w:eastAsia="Times New Roman" w:cs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F53A8"/>
    <w:rPr>
      <w:rFonts w:ascii="Century Gothic" w:eastAsia="Times New Roman" w:hAnsi="Century Gothic" w:cs="Arial"/>
      <w:sz w:val="16"/>
      <w:szCs w:val="16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F53A8"/>
    <w:rPr>
      <w:rFonts w:ascii="Century Gothic" w:hAnsi="Century Gothic"/>
      <w:sz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F53A8"/>
    <w:pPr>
      <w:ind w:left="283"/>
    </w:pPr>
  </w:style>
  <w:style w:type="paragraph" w:styleId="Textvbloku">
    <w:name w:val="Block Text"/>
    <w:basedOn w:val="Normln"/>
    <w:rsid w:val="00AF53A8"/>
    <w:pPr>
      <w:spacing w:after="0"/>
      <w:ind w:left="142" w:right="425"/>
    </w:pPr>
    <w:rPr>
      <w:rFonts w:ascii="Arial Narrow" w:eastAsia="Times New Roman" w:hAnsi="Arial Narrow" w:cs="Times New Roman"/>
      <w:w w:val="115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AF53A8"/>
    <w:pPr>
      <w:spacing w:after="0"/>
      <w:ind w:left="0" w:firstLine="709"/>
    </w:pPr>
    <w:rPr>
      <w:rFonts w:ascii="Courier New" w:eastAsia="Times New Roman" w:hAnsi="Courier New" w:cs="Times New Roman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F53A8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F53A8"/>
    <w:rPr>
      <w:rFonts w:ascii="Century Gothic" w:hAnsi="Century Gothic"/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F53A8"/>
    <w:pPr>
      <w:spacing w:line="480" w:lineRule="auto"/>
    </w:pPr>
  </w:style>
  <w:style w:type="paragraph" w:customStyle="1" w:styleId="Zhlav-doln">
    <w:name w:val="Záhlaví - dolní"/>
    <w:basedOn w:val="Zhlav"/>
    <w:rsid w:val="009F6B39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Zptenadresanaoblku">
    <w:name w:val="envelope return"/>
    <w:basedOn w:val="Normln"/>
    <w:rsid w:val="009E445F"/>
    <w:pPr>
      <w:spacing w:before="0" w:after="0"/>
      <w:ind w:left="0"/>
    </w:pPr>
    <w:rPr>
      <w:rFonts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522DF-FE64-41FB-9E50-E9B0FB6E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4</Pages>
  <Words>744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215</cp:revision>
  <cp:lastPrinted>2021-10-08T08:52:00Z</cp:lastPrinted>
  <dcterms:created xsi:type="dcterms:W3CDTF">2020-11-28T16:00:00Z</dcterms:created>
  <dcterms:modified xsi:type="dcterms:W3CDTF">2023-07-26T06:42:00Z</dcterms:modified>
</cp:coreProperties>
</file>