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7B1AD6" w:rsidRDefault="00812EB3" w:rsidP="007B1AD6">
      <w:pPr>
        <w:ind w:left="2832" w:hanging="2832"/>
        <w:rPr>
          <w:rFonts w:cstheme="minorHAnsi"/>
        </w:rPr>
      </w:pPr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7B1AD6">
        <w:tab/>
      </w:r>
      <w:r w:rsidR="00EC6212">
        <w:rPr>
          <w:rFonts w:cstheme="minorHAnsi"/>
          <w:b/>
        </w:rPr>
        <w:t>Výstavba dešťové kanalizace Soběšice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92884"/>
    <w:rsid w:val="000F0D92"/>
    <w:rsid w:val="00103922"/>
    <w:rsid w:val="00155159"/>
    <w:rsid w:val="001715AC"/>
    <w:rsid w:val="0027026F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7B1AD6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EC6212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BBE4C2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16</cp:revision>
  <dcterms:created xsi:type="dcterms:W3CDTF">2021-03-29T19:11:00Z</dcterms:created>
  <dcterms:modified xsi:type="dcterms:W3CDTF">2024-02-26T10:22:00Z</dcterms:modified>
</cp:coreProperties>
</file>