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2F4C" w14:textId="77777777" w:rsidR="00181AA2" w:rsidRPr="00AF2A26" w:rsidRDefault="00181AA2" w:rsidP="00181AA2">
      <w:pPr>
        <w:pStyle w:val="Zkladntext3"/>
        <w:tabs>
          <w:tab w:val="left" w:pos="3060"/>
        </w:tabs>
        <w:jc w:val="center"/>
        <w:rPr>
          <w:b/>
          <w:noProof/>
          <w:sz w:val="24"/>
          <w:szCs w:val="24"/>
        </w:rPr>
      </w:pPr>
      <w:r w:rsidRPr="00AF2A26">
        <w:rPr>
          <w:b/>
          <w:noProof/>
          <w:sz w:val="24"/>
          <w:szCs w:val="24"/>
        </w:rPr>
        <w:t>Zadávací podmínky a výzva k podání nabídek na veřejnou zakázku malého rozsahu:</w:t>
      </w:r>
    </w:p>
    <w:p w14:paraId="28A7479C" w14:textId="2559A5DF" w:rsidR="00181AA2" w:rsidRDefault="00181AA2" w:rsidP="40087511">
      <w:pPr>
        <w:ind w:left="280" w:hanging="280"/>
        <w:jc w:val="center"/>
        <w:rPr>
          <w:b/>
          <w:bCs/>
        </w:rPr>
      </w:pPr>
      <w:r w:rsidRPr="40087511">
        <w:rPr>
          <w:b/>
          <w:bCs/>
        </w:rPr>
        <w:t xml:space="preserve"> „</w:t>
      </w:r>
      <w:r w:rsidR="006A547C">
        <w:rPr>
          <w:b/>
          <w:bCs/>
        </w:rPr>
        <w:t>Pohyb obyvatel v Brně dle dat mobilního operátora</w:t>
      </w:r>
      <w:r w:rsidRPr="40087511">
        <w:rPr>
          <w:b/>
          <w:bCs/>
        </w:rPr>
        <w:t>“</w:t>
      </w:r>
    </w:p>
    <w:p w14:paraId="3472ECB6" w14:textId="77777777" w:rsidR="00181AA2" w:rsidRPr="00EB7865" w:rsidRDefault="00181AA2" w:rsidP="00181AA2">
      <w:pPr>
        <w:ind w:left="280" w:hanging="280"/>
        <w:jc w:val="center"/>
        <w:rPr>
          <w:b/>
        </w:rPr>
      </w:pPr>
    </w:p>
    <w:p w14:paraId="37EFCF12" w14:textId="77777777" w:rsidR="00181AA2" w:rsidRPr="00306641" w:rsidRDefault="00181AA2" w:rsidP="00181AA2">
      <w:pPr>
        <w:jc w:val="center"/>
        <w:rPr>
          <w:b/>
        </w:rPr>
      </w:pPr>
    </w:p>
    <w:p w14:paraId="05E7ADEC" w14:textId="6B93A662" w:rsidR="00181AA2" w:rsidRPr="00306641" w:rsidRDefault="00181AA2" w:rsidP="00181AA2">
      <w:pPr>
        <w:jc w:val="center"/>
        <w:rPr>
          <w:b/>
        </w:rPr>
      </w:pPr>
      <w:r w:rsidRPr="00306641">
        <w:rPr>
          <w:b/>
        </w:rPr>
        <w:t>zadávanou</w:t>
      </w:r>
      <w:r w:rsidR="00BB7797">
        <w:rPr>
          <w:b/>
        </w:rPr>
        <w:t xml:space="preserve"> mimo režim</w:t>
      </w:r>
      <w:r w:rsidRPr="00306641">
        <w:rPr>
          <w:b/>
        </w:rPr>
        <w:t xml:space="preserve"> zákona č. 134/2016 Sb., o zadávání veřejných zakázkách, </w:t>
      </w:r>
      <w:r>
        <w:rPr>
          <w:b/>
        </w:rPr>
        <w:t>ve znění pozdějších předpisů</w:t>
      </w:r>
      <w:r w:rsidR="00BB7797">
        <w:rPr>
          <w:b/>
        </w:rPr>
        <w:t xml:space="preserve"> (dále jen „ZZVZ“), v souladu s </w:t>
      </w:r>
      <w:r w:rsidR="00BA2E72">
        <w:rPr>
          <w:b/>
        </w:rPr>
        <w:t xml:space="preserve">§ </w:t>
      </w:r>
      <w:r w:rsidR="00BB7797">
        <w:rPr>
          <w:b/>
        </w:rPr>
        <w:t xml:space="preserve">31 </w:t>
      </w:r>
      <w:r w:rsidR="00BA2E72">
        <w:rPr>
          <w:b/>
        </w:rPr>
        <w:t>ZZVZ</w:t>
      </w:r>
      <w:r w:rsidR="00BB7797">
        <w:rPr>
          <w:b/>
        </w:rPr>
        <w:t xml:space="preserve"> za současného respektování § </w:t>
      </w:r>
      <w:r w:rsidR="00BB7797" w:rsidRPr="00306641">
        <w:rPr>
          <w:b/>
        </w:rPr>
        <w:t xml:space="preserve">6 </w:t>
      </w:r>
      <w:r w:rsidR="00BB7797">
        <w:rPr>
          <w:b/>
        </w:rPr>
        <w:t>ZZVZ</w:t>
      </w:r>
    </w:p>
    <w:p w14:paraId="615D0C82" w14:textId="6519C077" w:rsidR="00181AA2" w:rsidRDefault="00181AA2" w:rsidP="00AB1FB5">
      <w:pPr>
        <w:pStyle w:val="Zkladntext3"/>
        <w:jc w:val="center"/>
        <w:rPr>
          <w:b/>
          <w:noProof/>
          <w:sz w:val="24"/>
          <w:szCs w:val="24"/>
        </w:rPr>
      </w:pPr>
      <w:r w:rsidRPr="00306641">
        <w:rPr>
          <w:b/>
          <w:noProof/>
          <w:sz w:val="24"/>
          <w:szCs w:val="24"/>
        </w:rPr>
        <w:t>(dále jen „veřejná zakázka“)</w:t>
      </w:r>
    </w:p>
    <w:p w14:paraId="49B5C140" w14:textId="77777777" w:rsidR="00A438E7" w:rsidRDefault="00A438E7" w:rsidP="00181AA2">
      <w:pPr>
        <w:pStyle w:val="Zkladntext3"/>
        <w:jc w:val="center"/>
        <w:rPr>
          <w:b/>
          <w:noProof/>
          <w:sz w:val="24"/>
          <w:szCs w:val="24"/>
        </w:rPr>
      </w:pPr>
    </w:p>
    <w:p w14:paraId="5CC38EE9" w14:textId="2FE66F1E" w:rsidR="00C22A5B" w:rsidRPr="008F7736" w:rsidRDefault="00C22A5B" w:rsidP="000401B4">
      <w:pPr>
        <w:pStyle w:val="Odstavecseseznamem"/>
        <w:widowControl w:val="0"/>
        <w:numPr>
          <w:ilvl w:val="0"/>
          <w:numId w:val="4"/>
        </w:numPr>
        <w:pBdr>
          <w:top w:val="single" w:sz="4" w:space="1" w:color="auto"/>
          <w:left w:val="single" w:sz="4" w:space="4" w:color="auto"/>
          <w:bottom w:val="single" w:sz="4" w:space="1" w:color="auto"/>
          <w:right w:val="single" w:sz="4" w:space="4" w:color="auto"/>
        </w:pBdr>
        <w:tabs>
          <w:tab w:val="left" w:pos="432"/>
          <w:tab w:val="left" w:pos="1152"/>
          <w:tab w:val="left" w:pos="1584"/>
          <w:tab w:val="left" w:pos="1728"/>
          <w:tab w:val="left" w:pos="3312"/>
          <w:tab w:val="left" w:pos="4032"/>
        </w:tabs>
        <w:suppressAutoHyphens/>
        <w:autoSpaceDN w:val="0"/>
        <w:spacing w:before="120"/>
        <w:ind w:hanging="720"/>
        <w:contextualSpacing w:val="0"/>
        <w:jc w:val="both"/>
        <w:textAlignment w:val="baseline"/>
        <w:rPr>
          <w:b/>
        </w:rPr>
      </w:pPr>
      <w:r w:rsidRPr="008F7736">
        <w:rPr>
          <w:b/>
        </w:rPr>
        <w:t>Identifikační údaje zadavatel</w:t>
      </w:r>
      <w:r w:rsidR="00512BE9">
        <w:rPr>
          <w:b/>
        </w:rPr>
        <w:t>ů</w:t>
      </w:r>
    </w:p>
    <w:p w14:paraId="554E789B" w14:textId="77777777" w:rsidR="00C22A5B" w:rsidRPr="008F7736" w:rsidRDefault="00C22A5B" w:rsidP="00C22A5B">
      <w:pPr>
        <w:spacing w:before="120"/>
        <w:jc w:val="both"/>
      </w:pPr>
      <w:r>
        <w:t>Název:</w:t>
      </w:r>
      <w:r w:rsidR="75F3DFBD">
        <w:t xml:space="preserve"> </w:t>
      </w:r>
      <w:r>
        <w:tab/>
      </w:r>
      <w:r>
        <w:tab/>
        <w:t>s</w:t>
      </w:r>
      <w:r w:rsidRPr="008F7736">
        <w:t>tatutární město Brno</w:t>
      </w:r>
    </w:p>
    <w:p w14:paraId="3E75A4BB" w14:textId="77777777" w:rsidR="00181AA2" w:rsidRPr="00F66D0C" w:rsidRDefault="00181AA2" w:rsidP="00181AA2">
      <w:pPr>
        <w:tabs>
          <w:tab w:val="left" w:pos="360"/>
        </w:tabs>
      </w:pPr>
      <w:r w:rsidRPr="00306641">
        <w:t>Sídlo:</w:t>
      </w:r>
      <w:r w:rsidR="75F3DFBD" w:rsidRPr="00306641">
        <w:t xml:space="preserve"> </w:t>
      </w:r>
      <w:r w:rsidRPr="00306641">
        <w:tab/>
      </w:r>
      <w:r w:rsidRPr="00306641">
        <w:tab/>
      </w:r>
      <w:r w:rsidRPr="00306641">
        <w:tab/>
      </w:r>
      <w:r w:rsidRPr="00672A06">
        <w:t>Dominikánské nám. 196/1, 602 00 Brno</w:t>
      </w:r>
    </w:p>
    <w:p w14:paraId="423D6C48" w14:textId="1FB26229" w:rsidR="00181AA2" w:rsidRPr="00306641" w:rsidRDefault="00181AA2" w:rsidP="00191196">
      <w:pPr>
        <w:tabs>
          <w:tab w:val="left" w:pos="360"/>
        </w:tabs>
        <w:ind w:left="2127" w:hanging="2127"/>
      </w:pPr>
      <w:r w:rsidRPr="00F66D0C">
        <w:t>Zastoupené:</w:t>
      </w:r>
      <w:r w:rsidR="53740787" w:rsidRPr="00F66D0C">
        <w:t xml:space="preserve"> </w:t>
      </w:r>
      <w:r w:rsidR="006B62D2">
        <w:tab/>
      </w:r>
      <w:r w:rsidRPr="00F66D0C">
        <w:t>JUDr. Markétou Vaňkovou, primátorkou</w:t>
      </w:r>
    </w:p>
    <w:p w14:paraId="496FD189" w14:textId="77777777" w:rsidR="00181AA2" w:rsidRPr="00306641" w:rsidRDefault="00181AA2" w:rsidP="00181AA2">
      <w:pPr>
        <w:tabs>
          <w:tab w:val="left" w:pos="360"/>
        </w:tabs>
      </w:pPr>
      <w:r w:rsidRPr="00306641">
        <w:t>IČ</w:t>
      </w:r>
      <w:r w:rsidR="00BE575D">
        <w:t>O</w:t>
      </w:r>
      <w:r w:rsidRPr="00306641">
        <w:t>:</w:t>
      </w:r>
      <w:r w:rsidR="53740787" w:rsidRPr="00306641">
        <w:t xml:space="preserve"> </w:t>
      </w:r>
      <w:r w:rsidRPr="00306641">
        <w:tab/>
      </w:r>
      <w:r w:rsidRPr="00306641">
        <w:tab/>
      </w:r>
      <w:r w:rsidRPr="00306641">
        <w:tab/>
        <w:t>44992785</w:t>
      </w:r>
    </w:p>
    <w:p w14:paraId="43005C72" w14:textId="3F793922" w:rsidR="00181AA2" w:rsidRPr="00306641" w:rsidRDefault="00181AA2">
      <w:pPr>
        <w:tabs>
          <w:tab w:val="left" w:pos="360"/>
        </w:tabs>
      </w:pPr>
      <w:r w:rsidRPr="00306641">
        <w:t>DIČ:</w:t>
      </w:r>
      <w:r w:rsidR="53740787" w:rsidRPr="00306641">
        <w:t xml:space="preserve"> </w:t>
      </w:r>
      <w:r w:rsidRPr="00306641">
        <w:tab/>
      </w:r>
      <w:r w:rsidRPr="00306641">
        <w:tab/>
      </w:r>
      <w:r w:rsidRPr="00306641">
        <w:tab/>
        <w:t xml:space="preserve">CZ44992785 </w:t>
      </w:r>
    </w:p>
    <w:p w14:paraId="7FE768A9" w14:textId="69EE8F86" w:rsidR="00181AA2" w:rsidRDefault="00250522" w:rsidP="007C2028">
      <w:pPr>
        <w:tabs>
          <w:tab w:val="left" w:pos="360"/>
        </w:tabs>
        <w:ind w:left="2127" w:hanging="2127"/>
      </w:pPr>
      <w:r>
        <w:t>Kontaktní osoby</w:t>
      </w:r>
      <w:r w:rsidR="00323821" w:rsidRPr="0079081F">
        <w:t>:</w:t>
      </w:r>
      <w:r w:rsidR="007C2028" w:rsidRPr="0079081F">
        <w:tab/>
      </w:r>
      <w:r w:rsidR="003442C6" w:rsidRPr="0079081F">
        <w:t>Mgr</w:t>
      </w:r>
      <w:r w:rsidR="003442C6">
        <w:t xml:space="preserve">. </w:t>
      </w:r>
      <w:r>
        <w:t>Jan Zvara</w:t>
      </w:r>
      <w:r w:rsidR="009449C4">
        <w:t>, Ph.D.</w:t>
      </w:r>
      <w:r>
        <w:t xml:space="preserve">, tel.: 542 172 304, e-mail: </w:t>
      </w:r>
      <w:hyperlink r:id="rId12" w:history="1">
        <w:r w:rsidRPr="000B03CC">
          <w:rPr>
            <w:rStyle w:val="Hypertextovodkaz"/>
          </w:rPr>
          <w:t>zvara.jan@brno.cz</w:t>
        </w:r>
      </w:hyperlink>
    </w:p>
    <w:p w14:paraId="05203E8B" w14:textId="5D274704" w:rsidR="00250522" w:rsidRPr="00306641" w:rsidRDefault="00250522" w:rsidP="007C2028">
      <w:pPr>
        <w:tabs>
          <w:tab w:val="left" w:pos="360"/>
        </w:tabs>
        <w:ind w:left="2127" w:hanging="2127"/>
      </w:pPr>
      <w:r>
        <w:tab/>
      </w:r>
      <w:r>
        <w:tab/>
        <w:t xml:space="preserve">Mgr. Martin Dvořák, tel.: 542 172 217, e-mail: </w:t>
      </w:r>
      <w:hyperlink r:id="rId13" w:history="1">
        <w:r w:rsidRPr="000B03CC">
          <w:rPr>
            <w:rStyle w:val="Hypertextovodkaz"/>
          </w:rPr>
          <w:t>dvorak.martin@brno.cz</w:t>
        </w:r>
      </w:hyperlink>
      <w:r>
        <w:t xml:space="preserve"> </w:t>
      </w:r>
    </w:p>
    <w:p w14:paraId="6BA72722" w14:textId="2ED27AD9" w:rsidR="00181AA2" w:rsidRDefault="00181AA2" w:rsidP="00181AA2">
      <w:pPr>
        <w:tabs>
          <w:tab w:val="left" w:pos="360"/>
        </w:tabs>
        <w:ind w:left="2835" w:hanging="2835"/>
      </w:pPr>
      <w:r w:rsidRPr="00306641">
        <w:t xml:space="preserve">(dále jen </w:t>
      </w:r>
      <w:r w:rsidR="00176F34">
        <w:t>„zadavatel</w:t>
      </w:r>
      <w:r w:rsidR="00512BE9">
        <w:t xml:space="preserve"> č. 1</w:t>
      </w:r>
      <w:r w:rsidR="00176F34">
        <w:t>“</w:t>
      </w:r>
      <w:r w:rsidRPr="00306641">
        <w:t>)</w:t>
      </w:r>
    </w:p>
    <w:p w14:paraId="43D8DBD6" w14:textId="3641A60B" w:rsidR="00512BE9" w:rsidRDefault="00512BE9" w:rsidP="00181AA2">
      <w:pPr>
        <w:tabs>
          <w:tab w:val="left" w:pos="360"/>
        </w:tabs>
        <w:ind w:left="2835" w:hanging="2835"/>
      </w:pPr>
    </w:p>
    <w:p w14:paraId="0F8BCD2A" w14:textId="014A7D95" w:rsidR="00512BE9" w:rsidRDefault="00512BE9" w:rsidP="00181AA2">
      <w:pPr>
        <w:tabs>
          <w:tab w:val="left" w:pos="360"/>
        </w:tabs>
        <w:ind w:left="2835" w:hanging="2835"/>
      </w:pPr>
      <w:r>
        <w:t>a</w:t>
      </w:r>
    </w:p>
    <w:p w14:paraId="14D57DD6" w14:textId="215433DA" w:rsidR="00512BE9" w:rsidRPr="008F7736" w:rsidRDefault="00512BE9" w:rsidP="00512BE9">
      <w:pPr>
        <w:spacing w:before="120"/>
        <w:jc w:val="both"/>
      </w:pPr>
      <w:r>
        <w:t xml:space="preserve">Název: </w:t>
      </w:r>
      <w:r>
        <w:tab/>
      </w:r>
      <w:r>
        <w:tab/>
        <w:t>Kancelář architekta města Brna, příspěvková organizace</w:t>
      </w:r>
    </w:p>
    <w:p w14:paraId="5D493350" w14:textId="11517EBA" w:rsidR="00512BE9" w:rsidRPr="00F66D0C" w:rsidRDefault="00512BE9" w:rsidP="00512BE9">
      <w:pPr>
        <w:tabs>
          <w:tab w:val="left" w:pos="360"/>
        </w:tabs>
      </w:pPr>
      <w:r w:rsidRPr="00306641">
        <w:t xml:space="preserve">Sídlo: </w:t>
      </w:r>
      <w:r w:rsidRPr="00306641">
        <w:tab/>
      </w:r>
      <w:r w:rsidRPr="00306641">
        <w:tab/>
      </w:r>
      <w:r w:rsidRPr="00306641">
        <w:tab/>
      </w:r>
      <w:r>
        <w:t>Zelný trh 331</w:t>
      </w:r>
      <w:r w:rsidRPr="00672A06">
        <w:t>/1</w:t>
      </w:r>
      <w:r>
        <w:t>3</w:t>
      </w:r>
      <w:r w:rsidRPr="00672A06">
        <w:t>, 602 00 Brno</w:t>
      </w:r>
    </w:p>
    <w:p w14:paraId="5C426338" w14:textId="4944800C" w:rsidR="00512BE9" w:rsidRPr="00306641" w:rsidRDefault="00512BE9" w:rsidP="00512BE9">
      <w:pPr>
        <w:tabs>
          <w:tab w:val="left" w:pos="360"/>
        </w:tabs>
        <w:ind w:left="2127" w:hanging="2127"/>
      </w:pPr>
      <w:r w:rsidRPr="00F66D0C">
        <w:t xml:space="preserve">Zastoupené: </w:t>
      </w:r>
      <w:r>
        <w:tab/>
        <w:t>doc. Ing. arch. Michal Sedláček, ředitel</w:t>
      </w:r>
    </w:p>
    <w:p w14:paraId="79E54F68" w14:textId="7398842F" w:rsidR="00512BE9" w:rsidRPr="00306641" w:rsidRDefault="00512BE9" w:rsidP="00512BE9">
      <w:pPr>
        <w:tabs>
          <w:tab w:val="left" w:pos="360"/>
        </w:tabs>
      </w:pPr>
      <w:r w:rsidRPr="00306641">
        <w:t>IČ</w:t>
      </w:r>
      <w:r>
        <w:t>O</w:t>
      </w:r>
      <w:r w:rsidRPr="00306641">
        <w:t xml:space="preserve">: </w:t>
      </w:r>
      <w:r w:rsidRPr="00306641">
        <w:tab/>
      </w:r>
      <w:r w:rsidRPr="00306641">
        <w:tab/>
      </w:r>
      <w:r w:rsidRPr="00306641">
        <w:tab/>
      </w:r>
      <w:r>
        <w:t>05128820</w:t>
      </w:r>
    </w:p>
    <w:p w14:paraId="6D24307B" w14:textId="5B80E5C7" w:rsidR="00512BE9" w:rsidRPr="00306641" w:rsidRDefault="00512BE9" w:rsidP="00512BE9">
      <w:pPr>
        <w:tabs>
          <w:tab w:val="left" w:pos="360"/>
        </w:tabs>
      </w:pPr>
      <w:r w:rsidRPr="00306641">
        <w:t xml:space="preserve">DIČ: </w:t>
      </w:r>
      <w:r w:rsidRPr="00306641">
        <w:tab/>
      </w:r>
      <w:r w:rsidRPr="00306641">
        <w:tab/>
      </w:r>
      <w:r w:rsidRPr="00306641">
        <w:tab/>
        <w:t>CZ</w:t>
      </w:r>
      <w:r>
        <w:t>05128820</w:t>
      </w:r>
      <w:r w:rsidRPr="00306641">
        <w:t xml:space="preserve"> </w:t>
      </w:r>
    </w:p>
    <w:p w14:paraId="5546A48F" w14:textId="09EEB40F" w:rsidR="00512BE9" w:rsidRPr="00306641" w:rsidRDefault="00512BE9" w:rsidP="00512BE9">
      <w:pPr>
        <w:tabs>
          <w:tab w:val="left" w:pos="360"/>
        </w:tabs>
        <w:ind w:left="2127" w:hanging="2127"/>
      </w:pPr>
      <w:r>
        <w:t>Kontaktní osob</w:t>
      </w:r>
      <w:r w:rsidR="00836DFF">
        <w:t>a</w:t>
      </w:r>
      <w:r w:rsidRPr="0079081F">
        <w:t>:</w:t>
      </w:r>
      <w:r w:rsidRPr="0079081F">
        <w:tab/>
      </w:r>
      <w:r w:rsidR="004B02FF">
        <w:t xml:space="preserve">Mgr. Jiří Malý, </w:t>
      </w:r>
      <w:hyperlink r:id="rId14" w:history="1">
        <w:r w:rsidR="004B02FF" w:rsidRPr="00EA72A7">
          <w:rPr>
            <w:rStyle w:val="Hypertextovodkaz"/>
          </w:rPr>
          <w:t>maly.jiri@kambrno.cz</w:t>
        </w:r>
      </w:hyperlink>
      <w:r w:rsidR="004B02FF">
        <w:t>, +420 770 176 562</w:t>
      </w:r>
    </w:p>
    <w:p w14:paraId="1223F617" w14:textId="1195B45A" w:rsidR="00512BE9" w:rsidRDefault="00512BE9" w:rsidP="00512BE9">
      <w:pPr>
        <w:tabs>
          <w:tab w:val="left" w:pos="360"/>
        </w:tabs>
        <w:ind w:left="2835" w:hanging="2835"/>
      </w:pPr>
      <w:r w:rsidRPr="00306641">
        <w:t xml:space="preserve">(dále jen </w:t>
      </w:r>
      <w:r>
        <w:t>„zadavatel č. 2“</w:t>
      </w:r>
      <w:r w:rsidRPr="00306641">
        <w:t>)</w:t>
      </w:r>
    </w:p>
    <w:p w14:paraId="6BAADC62" w14:textId="08A498AA" w:rsidR="00512BE9" w:rsidRDefault="00512BE9" w:rsidP="00181AA2">
      <w:pPr>
        <w:tabs>
          <w:tab w:val="left" w:pos="360"/>
        </w:tabs>
        <w:ind w:left="2835" w:hanging="2835"/>
      </w:pPr>
    </w:p>
    <w:p w14:paraId="2D817019" w14:textId="4209BECB" w:rsidR="00512BE9" w:rsidRDefault="00512BE9" w:rsidP="00181AA2">
      <w:pPr>
        <w:tabs>
          <w:tab w:val="left" w:pos="360"/>
        </w:tabs>
        <w:ind w:left="2835" w:hanging="2835"/>
      </w:pPr>
      <w:r>
        <w:t>(Zadavatel 1a zadavatel 2 dále společně také jako „Zadavatelé“)</w:t>
      </w:r>
    </w:p>
    <w:p w14:paraId="06953A6B" w14:textId="77777777" w:rsidR="00C22A5B" w:rsidRDefault="00C22A5B" w:rsidP="00191196">
      <w:pPr>
        <w:pStyle w:val="Bezmezer"/>
        <w:rPr>
          <w:rFonts w:ascii="Times New Roman" w:hAnsi="Times New Roman" w:cs="Times New Roman"/>
          <w:sz w:val="24"/>
          <w:szCs w:val="24"/>
        </w:rPr>
      </w:pPr>
    </w:p>
    <w:p w14:paraId="25EEC01D" w14:textId="77777777" w:rsidR="00C22A5B" w:rsidRPr="008F7736" w:rsidRDefault="00C22A5B" w:rsidP="000401B4">
      <w:pPr>
        <w:pStyle w:val="Odstavecseseznamem"/>
        <w:widowControl w:val="0"/>
        <w:numPr>
          <w:ilvl w:val="0"/>
          <w:numId w:val="4"/>
        </w:numPr>
        <w:pBdr>
          <w:top w:val="single" w:sz="4" w:space="1" w:color="auto"/>
          <w:left w:val="single" w:sz="4" w:space="4" w:color="auto"/>
          <w:bottom w:val="single" w:sz="4" w:space="1" w:color="auto"/>
          <w:right w:val="single" w:sz="4" w:space="4" w:color="auto"/>
        </w:pBdr>
        <w:tabs>
          <w:tab w:val="left" w:pos="432"/>
          <w:tab w:val="left" w:pos="1152"/>
          <w:tab w:val="left" w:pos="1584"/>
          <w:tab w:val="left" w:pos="1728"/>
          <w:tab w:val="left" w:pos="3312"/>
          <w:tab w:val="left" w:pos="4032"/>
        </w:tabs>
        <w:suppressAutoHyphens/>
        <w:autoSpaceDN w:val="0"/>
        <w:spacing w:before="120"/>
        <w:ind w:hanging="720"/>
        <w:contextualSpacing w:val="0"/>
        <w:jc w:val="both"/>
        <w:textAlignment w:val="baseline"/>
        <w:rPr>
          <w:b/>
        </w:rPr>
      </w:pPr>
      <w:r>
        <w:rPr>
          <w:b/>
        </w:rPr>
        <w:t>Druh a režim veřejné zakázky</w:t>
      </w:r>
    </w:p>
    <w:p w14:paraId="534CD693" w14:textId="77777777" w:rsidR="002D4299" w:rsidRDefault="002D4299" w:rsidP="00191196">
      <w:pPr>
        <w:spacing w:before="120"/>
        <w:jc w:val="both"/>
      </w:pPr>
      <w:bookmarkStart w:id="0" w:name="_Hlk26519349"/>
      <w:bookmarkStart w:id="1" w:name="_Hlk26196444"/>
      <w:r>
        <w:t>Režim</w:t>
      </w:r>
      <w:bookmarkEnd w:id="0"/>
      <w:r>
        <w:t xml:space="preserve"> veřejné zakázky: </w:t>
      </w:r>
      <w:r w:rsidRPr="002D4299">
        <w:rPr>
          <w:b/>
        </w:rPr>
        <w:t>veřejná zakázka malého rozsahu</w:t>
      </w:r>
      <w:r>
        <w:t xml:space="preserve"> </w:t>
      </w:r>
      <w:bookmarkStart w:id="2" w:name="_Hlk26196431"/>
      <w:r>
        <w:t>dle § 27 ZZVZ</w:t>
      </w:r>
      <w:bookmarkEnd w:id="2"/>
    </w:p>
    <w:bookmarkEnd w:id="1"/>
    <w:p w14:paraId="45D0AE87" w14:textId="77777777" w:rsidR="00181AA2" w:rsidRPr="00306641" w:rsidRDefault="00181AA2" w:rsidP="00181AA2">
      <w:pPr>
        <w:keepNext/>
        <w:jc w:val="both"/>
        <w:rPr>
          <w:snapToGrid w:val="0"/>
        </w:rPr>
      </w:pPr>
      <w:r w:rsidRPr="00306641">
        <w:rPr>
          <w:snapToGrid w:val="0"/>
        </w:rPr>
        <w:t xml:space="preserve">Druh veřejné zakázky: veřejná zakázka na služby </w:t>
      </w:r>
    </w:p>
    <w:p w14:paraId="71C444CF" w14:textId="77777777" w:rsidR="002D4299" w:rsidRPr="00A25FD4" w:rsidRDefault="002D4299" w:rsidP="002D4299">
      <w:pPr>
        <w:pStyle w:val="Bezmezer"/>
        <w:jc w:val="both"/>
        <w:rPr>
          <w:rFonts w:ascii="Times New Roman" w:hAnsi="Times New Roman" w:cs="Times New Roman"/>
          <w:sz w:val="24"/>
          <w:szCs w:val="24"/>
        </w:rPr>
      </w:pPr>
    </w:p>
    <w:p w14:paraId="1190BC41" w14:textId="2BAC127A" w:rsidR="002D4299" w:rsidRDefault="002D4299" w:rsidP="002D4299">
      <w:pPr>
        <w:pStyle w:val="Bezmezer"/>
        <w:jc w:val="both"/>
        <w:rPr>
          <w:rFonts w:ascii="Times New Roman" w:hAnsi="Times New Roman" w:cs="Times New Roman"/>
          <w:sz w:val="24"/>
          <w:szCs w:val="24"/>
        </w:rPr>
      </w:pPr>
      <w:r w:rsidRPr="00A25FD4">
        <w:rPr>
          <w:rFonts w:ascii="Times New Roman" w:hAnsi="Times New Roman" w:cs="Times New Roman"/>
          <w:sz w:val="24"/>
          <w:szCs w:val="24"/>
        </w:rPr>
        <w:t xml:space="preserve">Zadavatel výslovně upozorňuje, že předmětná veřejná zakázka malého rozsahu na služby je zadávaná mimo režim ZZVZ. To platí i v případě, že zadavatel při zadání této zakázky použije terminologii ZZVZ, příp. jeho část v přímé citaci. </w:t>
      </w:r>
      <w:r w:rsidR="005924F7">
        <w:rPr>
          <w:rFonts w:ascii="Times New Roman" w:hAnsi="Times New Roman" w:cs="Times New Roman"/>
          <w:sz w:val="24"/>
          <w:szCs w:val="24"/>
        </w:rPr>
        <w:t>Tzn. p</w:t>
      </w:r>
      <w:r w:rsidR="000854F3" w:rsidRPr="000854F3">
        <w:rPr>
          <w:rFonts w:ascii="Times New Roman" w:hAnsi="Times New Roman" w:cs="Times New Roman"/>
          <w:sz w:val="24"/>
          <w:szCs w:val="24"/>
        </w:rPr>
        <w:t xml:space="preserve">okud tyto zadávací podmínky odkazují na ZZVZ, jedná se jen o jeho přiměřenou aplikaci, nikoliv podřízení se zadavatele režimu ZZVZ. </w:t>
      </w:r>
      <w:r w:rsidRPr="00A25FD4">
        <w:rPr>
          <w:rFonts w:ascii="Times New Roman" w:hAnsi="Times New Roman" w:cs="Times New Roman"/>
          <w:sz w:val="24"/>
          <w:szCs w:val="24"/>
        </w:rPr>
        <w:t>Pro toto výběrové řízení jsou rozhodné pouze podmínky stanovené v této zadávací dokumentaci.</w:t>
      </w:r>
    </w:p>
    <w:p w14:paraId="7892B13F" w14:textId="77777777" w:rsidR="002D4299" w:rsidRDefault="002D4299" w:rsidP="00A104EA">
      <w:pPr>
        <w:keepNext/>
        <w:jc w:val="both"/>
        <w:rPr>
          <w:snapToGrid w:val="0"/>
        </w:rPr>
      </w:pPr>
    </w:p>
    <w:p w14:paraId="2EA6C176" w14:textId="77777777" w:rsidR="00C22A5B" w:rsidRPr="00563850" w:rsidRDefault="00C22A5B" w:rsidP="000401B4">
      <w:pPr>
        <w:pStyle w:val="Odstavecseseznamem"/>
        <w:widowControl w:val="0"/>
        <w:numPr>
          <w:ilvl w:val="0"/>
          <w:numId w:val="4"/>
        </w:numPr>
        <w:pBdr>
          <w:top w:val="single" w:sz="4" w:space="1" w:color="auto"/>
          <w:left w:val="single" w:sz="4" w:space="4" w:color="auto"/>
          <w:bottom w:val="single" w:sz="4" w:space="1" w:color="auto"/>
          <w:right w:val="single" w:sz="4" w:space="4" w:color="auto"/>
        </w:pBdr>
        <w:tabs>
          <w:tab w:val="left" w:pos="432"/>
          <w:tab w:val="left" w:pos="1152"/>
          <w:tab w:val="left" w:pos="1584"/>
          <w:tab w:val="left" w:pos="1728"/>
          <w:tab w:val="left" w:pos="3312"/>
          <w:tab w:val="left" w:pos="4032"/>
        </w:tabs>
        <w:suppressAutoHyphens/>
        <w:autoSpaceDN w:val="0"/>
        <w:spacing w:before="120"/>
        <w:ind w:hanging="720"/>
        <w:contextualSpacing w:val="0"/>
        <w:jc w:val="both"/>
        <w:textAlignment w:val="baseline"/>
        <w:rPr>
          <w:b/>
        </w:rPr>
      </w:pPr>
      <w:r>
        <w:rPr>
          <w:b/>
        </w:rPr>
        <w:t>Vymezení předmětu veřejné zakázky</w:t>
      </w:r>
    </w:p>
    <w:p w14:paraId="797B95C7" w14:textId="38C84371" w:rsidR="00080F5F" w:rsidRDefault="00250522" w:rsidP="005F5636">
      <w:pPr>
        <w:spacing w:before="120"/>
        <w:jc w:val="both"/>
      </w:pPr>
      <w:r w:rsidRPr="00250522">
        <w:t xml:space="preserve">Předmětem zakázky je zpracování a dodání dat o mobilitě osob v Brně a okolí vycházejících </w:t>
      </w:r>
      <w:r w:rsidR="00512BE9">
        <w:br/>
      </w:r>
      <w:r w:rsidRPr="00250522">
        <w:t>z geolokačních signalizačních dat mobilního operátora, získaných pasivním přístupem určení</w:t>
      </w:r>
      <w:r w:rsidR="005151D6">
        <w:t xml:space="preserve"> polohy zařízení </w:t>
      </w:r>
      <w:r>
        <w:t>(</w:t>
      </w:r>
      <w:r w:rsidRPr="00AF2A26">
        <w:t>viz příloha č. 2 zadávacích podmínek</w:t>
      </w:r>
      <w:r>
        <w:t>)</w:t>
      </w:r>
      <w:r w:rsidRPr="00250522">
        <w:t>.</w:t>
      </w:r>
    </w:p>
    <w:p w14:paraId="70E5436A" w14:textId="77777777" w:rsidR="005F5636" w:rsidRPr="005F5636" w:rsidRDefault="005F5636" w:rsidP="005F5636">
      <w:pPr>
        <w:spacing w:before="120"/>
        <w:jc w:val="both"/>
        <w:rPr>
          <w:sz w:val="12"/>
          <w:szCs w:val="12"/>
        </w:rPr>
      </w:pPr>
    </w:p>
    <w:p w14:paraId="152DECAE" w14:textId="77777777" w:rsidR="00080F5F" w:rsidRPr="00F46A24" w:rsidRDefault="00080F5F" w:rsidP="00080F5F">
      <w:pPr>
        <w:spacing w:after="120"/>
        <w:jc w:val="both"/>
      </w:pPr>
      <w:r w:rsidRPr="00F46A24">
        <w:lastRenderedPageBreak/>
        <w:t xml:space="preserve">Dodavatel předá jako výsledek práce: </w:t>
      </w:r>
    </w:p>
    <w:p w14:paraId="036FEEC9" w14:textId="03628E10" w:rsidR="00F46A24" w:rsidRPr="00F46A24" w:rsidRDefault="00F46A24" w:rsidP="00F46A24">
      <w:pPr>
        <w:pStyle w:val="Odstavecseseznamem"/>
        <w:numPr>
          <w:ilvl w:val="6"/>
          <w:numId w:val="1"/>
        </w:numPr>
        <w:tabs>
          <w:tab w:val="clear" w:pos="2520"/>
          <w:tab w:val="num" w:pos="1134"/>
        </w:tabs>
        <w:spacing w:after="120"/>
        <w:ind w:left="1134" w:hanging="567"/>
        <w:jc w:val="both"/>
      </w:pPr>
      <w:r w:rsidRPr="00F46A24">
        <w:t>Agregovaná anonymizovaná data o mobilitě osob</w:t>
      </w:r>
    </w:p>
    <w:p w14:paraId="10BCE4E7" w14:textId="4325FF55" w:rsidR="00F46A24" w:rsidRPr="00F46A24" w:rsidRDefault="00F46A24" w:rsidP="00F46A24">
      <w:pPr>
        <w:pStyle w:val="Odstavecseseznamem"/>
        <w:numPr>
          <w:ilvl w:val="6"/>
          <w:numId w:val="1"/>
        </w:numPr>
        <w:tabs>
          <w:tab w:val="clear" w:pos="2520"/>
        </w:tabs>
        <w:spacing w:after="120"/>
        <w:ind w:left="1134" w:hanging="567"/>
        <w:jc w:val="both"/>
      </w:pPr>
      <w:r w:rsidRPr="00F46A24">
        <w:t>Metodika analýzy, včetně upozornění na možné limity výstupů</w:t>
      </w:r>
    </w:p>
    <w:p w14:paraId="54F3462D" w14:textId="773CAC6F" w:rsidR="00F46A24" w:rsidRPr="00F46A24" w:rsidRDefault="00F46A24" w:rsidP="00F46A24">
      <w:pPr>
        <w:pStyle w:val="Odstavecseseznamem"/>
        <w:numPr>
          <w:ilvl w:val="6"/>
          <w:numId w:val="1"/>
        </w:numPr>
        <w:tabs>
          <w:tab w:val="clear" w:pos="2520"/>
        </w:tabs>
        <w:spacing w:after="120"/>
        <w:ind w:left="1134" w:hanging="567"/>
        <w:jc w:val="both"/>
      </w:pPr>
      <w:r w:rsidRPr="00F46A24">
        <w:t>Stručný, ale jasný popis – metadata – výsledných dat</w:t>
      </w:r>
    </w:p>
    <w:p w14:paraId="2403A3CE" w14:textId="104B2A23" w:rsidR="00181AA2" w:rsidRPr="00F46A24" w:rsidRDefault="00F46A24" w:rsidP="00191196">
      <w:pPr>
        <w:keepNext/>
      </w:pPr>
      <w:r w:rsidRPr="00F46A24">
        <w:t>Výstupem není grafické znázornění výstupů, ani interpretace výsledků.</w:t>
      </w:r>
    </w:p>
    <w:p w14:paraId="2E9C4919" w14:textId="77777777" w:rsidR="00F46A24" w:rsidRPr="005F5636" w:rsidRDefault="00F46A24" w:rsidP="00191196">
      <w:pPr>
        <w:keepNext/>
        <w:rPr>
          <w:b/>
          <w:sz w:val="12"/>
          <w:szCs w:val="12"/>
        </w:rPr>
      </w:pPr>
    </w:p>
    <w:p w14:paraId="3AAFDD18" w14:textId="7E9AFDAA" w:rsidR="002C4F9C" w:rsidRPr="00AF2A26" w:rsidRDefault="002C4F9C" w:rsidP="00960C08">
      <w:pPr>
        <w:keepNext/>
        <w:jc w:val="both"/>
        <w:rPr>
          <w:b/>
        </w:rPr>
      </w:pPr>
      <w:r>
        <w:rPr>
          <w:b/>
        </w:rPr>
        <w:t xml:space="preserve">Zahájení prací </w:t>
      </w:r>
      <w:r w:rsidR="004F1DCF">
        <w:rPr>
          <w:b/>
        </w:rPr>
        <w:t>začne</w:t>
      </w:r>
      <w:r>
        <w:rPr>
          <w:b/>
        </w:rPr>
        <w:t xml:space="preserve"> okamžitě po </w:t>
      </w:r>
      <w:r w:rsidR="00A278EC">
        <w:rPr>
          <w:b/>
        </w:rPr>
        <w:t xml:space="preserve">nabytí účinnosti </w:t>
      </w:r>
      <w:r>
        <w:rPr>
          <w:b/>
        </w:rPr>
        <w:t>smlouvy</w:t>
      </w:r>
      <w:r w:rsidR="00834685">
        <w:rPr>
          <w:b/>
        </w:rPr>
        <w:t xml:space="preserve">, doba plnění </w:t>
      </w:r>
      <w:r w:rsidR="004F1DCF">
        <w:rPr>
          <w:b/>
        </w:rPr>
        <w:t>se předpokládá</w:t>
      </w:r>
      <w:r w:rsidR="004F1DCF" w:rsidRPr="00665D20">
        <w:rPr>
          <w:b/>
        </w:rPr>
        <w:t xml:space="preserve"> </w:t>
      </w:r>
      <w:r w:rsidR="004F1DCF" w:rsidRPr="004F1DCF">
        <w:rPr>
          <w:b/>
        </w:rPr>
        <w:t>6</w:t>
      </w:r>
      <w:r w:rsidR="004537B8" w:rsidRPr="004F1DCF">
        <w:rPr>
          <w:b/>
        </w:rPr>
        <w:t xml:space="preserve"> týdnů</w:t>
      </w:r>
      <w:r w:rsidRPr="004F1DCF">
        <w:rPr>
          <w:b/>
        </w:rPr>
        <w:t>.</w:t>
      </w:r>
      <w:r w:rsidR="004F1DCF">
        <w:rPr>
          <w:b/>
        </w:rPr>
        <w:t xml:space="preserve"> </w:t>
      </w:r>
    </w:p>
    <w:p w14:paraId="07C1B199" w14:textId="77777777" w:rsidR="00181AA2" w:rsidRDefault="00181AA2" w:rsidP="00191196">
      <w:pPr>
        <w:numPr>
          <w:ilvl w:val="12"/>
          <w:numId w:val="0"/>
        </w:numPr>
      </w:pPr>
    </w:p>
    <w:p w14:paraId="2CC6DFD3" w14:textId="77777777" w:rsidR="002C4F9C" w:rsidRPr="00602F22" w:rsidRDefault="002C4F9C" w:rsidP="000401B4">
      <w:pPr>
        <w:widowControl w:val="0"/>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
          <w:tab w:val="left" w:pos="1152"/>
          <w:tab w:val="left" w:pos="1584"/>
          <w:tab w:val="left" w:pos="1728"/>
          <w:tab w:val="left" w:pos="3312"/>
          <w:tab w:val="left" w:pos="4032"/>
        </w:tabs>
        <w:spacing w:before="120"/>
        <w:ind w:hanging="720"/>
        <w:jc w:val="both"/>
        <w:rPr>
          <w:b/>
        </w:rPr>
      </w:pPr>
      <w:r w:rsidRPr="00602F22">
        <w:rPr>
          <w:b/>
        </w:rPr>
        <w:t>Požadavky na kvalifikační předpoklady</w:t>
      </w:r>
    </w:p>
    <w:p w14:paraId="64855FB1" w14:textId="77777777" w:rsidR="00F84499" w:rsidRPr="00E033B1" w:rsidRDefault="00F84499" w:rsidP="00F84499">
      <w:pPr>
        <w:spacing w:before="120"/>
        <w:jc w:val="both"/>
        <w:rPr>
          <w:b/>
        </w:rPr>
      </w:pPr>
      <w:r w:rsidRPr="00E033B1">
        <w:rPr>
          <w:b/>
        </w:rPr>
        <w:t>4. 1. Základní způsobilost</w:t>
      </w:r>
    </w:p>
    <w:p w14:paraId="6BB4F26C" w14:textId="099B61EE" w:rsidR="00F84499" w:rsidRPr="00E033B1" w:rsidRDefault="00F84499" w:rsidP="00C06C0B">
      <w:pPr>
        <w:spacing w:before="120"/>
        <w:jc w:val="both"/>
        <w:rPr>
          <w:b/>
        </w:rPr>
      </w:pPr>
      <w:r w:rsidRPr="00E033B1">
        <w:t>Zadavatel</w:t>
      </w:r>
      <w:r w:rsidR="00512BE9">
        <w:t>é</w:t>
      </w:r>
      <w:r w:rsidRPr="00E033B1">
        <w:t xml:space="preserve"> požaduj</w:t>
      </w:r>
      <w:r w:rsidR="00512BE9">
        <w:t>í</w:t>
      </w:r>
      <w:r w:rsidRPr="00E033B1">
        <w:t xml:space="preserve"> k prokázání splnění podmínek základní způsobilosti předložení čestného prohlášení o splnění podmínek dle § 74 ZZVZ</w:t>
      </w:r>
      <w:r w:rsidR="00C06C0B">
        <w:t>.</w:t>
      </w:r>
    </w:p>
    <w:p w14:paraId="17C5135F" w14:textId="77777777" w:rsidR="00F84499" w:rsidRPr="00E033B1" w:rsidRDefault="00F84499" w:rsidP="00F84499">
      <w:pPr>
        <w:spacing w:before="120"/>
        <w:jc w:val="both"/>
      </w:pPr>
    </w:p>
    <w:p w14:paraId="7E84D9FB" w14:textId="77777777" w:rsidR="00F84499" w:rsidRPr="00E033B1" w:rsidRDefault="00F84499" w:rsidP="00F84499">
      <w:pPr>
        <w:jc w:val="both"/>
        <w:rPr>
          <w:b/>
        </w:rPr>
      </w:pPr>
      <w:r w:rsidRPr="00E033B1">
        <w:rPr>
          <w:b/>
        </w:rPr>
        <w:t>4. 2. Profesní způsobilost</w:t>
      </w:r>
    </w:p>
    <w:p w14:paraId="49AB7469" w14:textId="24838BB8" w:rsidR="00F84499" w:rsidRPr="00E033B1" w:rsidRDefault="00F84499" w:rsidP="40087511">
      <w:pPr>
        <w:spacing w:before="120"/>
        <w:jc w:val="both"/>
        <w:rPr>
          <w:b/>
          <w:bCs/>
        </w:rPr>
      </w:pPr>
      <w:r>
        <w:t>Zadavatel</w:t>
      </w:r>
      <w:r w:rsidR="00512BE9">
        <w:t>é</w:t>
      </w:r>
      <w:r>
        <w:t xml:space="preserve"> požaduj</w:t>
      </w:r>
      <w:r w:rsidR="00512BE9">
        <w:t>í</w:t>
      </w:r>
      <w:r>
        <w:t xml:space="preserve"> k prokázání splnění profesní způsobilosti předložení výpisu z obchodního rejstříku nebo jiné obdobné evidence, pokud jiný právní předpis zápis do takové evidence vyžaduje. Tuto povinnost </w:t>
      </w:r>
      <w:r w:rsidR="001B1135">
        <w:t>účastník (dále jen „</w:t>
      </w:r>
      <w:r>
        <w:t>uchazeč</w:t>
      </w:r>
      <w:r w:rsidR="001B1135">
        <w:t>“)</w:t>
      </w:r>
      <w:r>
        <w:t xml:space="preserve"> splní uvedením hypertextového odkazu na veřejnou část dané evidenci v předmětné části krycího listu, který tvoří přílohu č. 1 těchto zadávacích podmínek. Dále zadavatel</w:t>
      </w:r>
      <w:r w:rsidR="00512BE9">
        <w:t>é</w:t>
      </w:r>
      <w:r>
        <w:t xml:space="preserve"> požaduj</w:t>
      </w:r>
      <w:r w:rsidR="00512BE9">
        <w:t>í</w:t>
      </w:r>
      <w:r>
        <w:t xml:space="preserve"> předložení dokladu, že je oprávněn podnikat </w:t>
      </w:r>
      <w:r w:rsidR="00512BE9">
        <w:br/>
      </w:r>
      <w:r>
        <w:t xml:space="preserve">v rozsahu odpovídajícímu předmětu veřejné zakázky (např. výpis ze živnostenského rejstříku). Tuto povinnost </w:t>
      </w:r>
      <w:r w:rsidR="0F1F0F10">
        <w:t xml:space="preserve">uchazeč splní </w:t>
      </w:r>
      <w:r w:rsidR="22432D91">
        <w:t>rovněž</w:t>
      </w:r>
      <w:r w:rsidR="0F1F0F10">
        <w:t xml:space="preserve"> </w:t>
      </w:r>
      <w:r>
        <w:t>uvedením hypertextového odkazu na veřejnou část dané evidenci v předmětné části krycího listu.</w:t>
      </w:r>
    </w:p>
    <w:p w14:paraId="519DAE4B" w14:textId="77777777" w:rsidR="00F84499" w:rsidRPr="00E033B1" w:rsidRDefault="00F84499" w:rsidP="00F84499">
      <w:pPr>
        <w:spacing w:before="120"/>
        <w:jc w:val="both"/>
      </w:pPr>
    </w:p>
    <w:p w14:paraId="29345E65" w14:textId="77777777" w:rsidR="00F84499" w:rsidRPr="00E033B1" w:rsidRDefault="00F84499" w:rsidP="00F84499">
      <w:pPr>
        <w:jc w:val="both"/>
        <w:rPr>
          <w:b/>
        </w:rPr>
      </w:pPr>
      <w:r w:rsidRPr="00E033B1">
        <w:rPr>
          <w:b/>
        </w:rPr>
        <w:t>4.</w:t>
      </w:r>
      <w:r>
        <w:rPr>
          <w:b/>
        </w:rPr>
        <w:t xml:space="preserve"> 3</w:t>
      </w:r>
      <w:r w:rsidRPr="00E033B1">
        <w:rPr>
          <w:b/>
        </w:rPr>
        <w:t xml:space="preserve">. </w:t>
      </w:r>
      <w:r>
        <w:rPr>
          <w:b/>
        </w:rPr>
        <w:t>Technická kvalifikace</w:t>
      </w:r>
    </w:p>
    <w:p w14:paraId="06ABD976" w14:textId="730F87A2" w:rsidR="006A547C" w:rsidRDefault="00F84499" w:rsidP="00AB1FB5">
      <w:pPr>
        <w:spacing w:before="120"/>
        <w:jc w:val="both"/>
      </w:pPr>
      <w:r>
        <w:t>K prokázání zadavatel</w:t>
      </w:r>
      <w:r w:rsidR="00512BE9">
        <w:t>é</w:t>
      </w:r>
      <w:r>
        <w:t xml:space="preserve"> požaduj</w:t>
      </w:r>
      <w:r w:rsidR="00512BE9">
        <w:t>í</w:t>
      </w:r>
      <w:r>
        <w:t>, aby uchazeč doložil</w:t>
      </w:r>
      <w:r w:rsidR="00AB1FB5">
        <w:t xml:space="preserve"> </w:t>
      </w:r>
      <w:r w:rsidR="00AB1FB5" w:rsidRPr="00AB1FB5">
        <w:rPr>
          <w:b/>
          <w:bCs/>
        </w:rPr>
        <w:t>s</w:t>
      </w:r>
      <w:r w:rsidRPr="00AB1FB5">
        <w:rPr>
          <w:b/>
          <w:bCs/>
        </w:rPr>
        <w:t>eznam významných dodávek nebo významných služeb:</w:t>
      </w:r>
      <w:r>
        <w:t xml:space="preserve"> Uchazeč je povinen předložit seznam významných dodávek nebo služeb (referenčních zakázek) obdobného charakteru poskytnutých uchazečem v posledních 5 letech před uplynutím lhůty pro podání nabídek, a to formou čestného prohlášení. Kvalifikaci prokáže dodavatel, který v rozhodném období </w:t>
      </w:r>
      <w:r w:rsidR="00250522" w:rsidRPr="00AB1FB5">
        <w:rPr>
          <w:b/>
        </w:rPr>
        <w:t>alespoň 2</w:t>
      </w:r>
      <w:r w:rsidRPr="00AB1FB5">
        <w:rPr>
          <w:b/>
        </w:rPr>
        <w:t xml:space="preserve"> x poskytoval dodávky nebo služby, jejichž předmětem byla obdobná činnost</w:t>
      </w:r>
      <w:r w:rsidRPr="00FF34C7">
        <w:t xml:space="preserve">, tj. </w:t>
      </w:r>
      <w:r w:rsidR="00250522" w:rsidRPr="00250522">
        <w:t>zpracování signalizačních dat mobilního operátora pro potřeby prostorového vyhodnocení dynamiky území. Dynamika území je v tomto smyslu chápána ve vyjádření matice zdroj-cíl, tedy pohyb osob mezi dvěma územními jednotkami.</w:t>
      </w:r>
      <w:r w:rsidR="00250522">
        <w:t xml:space="preserve"> </w:t>
      </w:r>
      <w:r w:rsidRPr="00FF34C7">
        <w:t>Přehled musí u každé reference obsahovat uvedení identifikačních údajů objednatele a kontaktní údaje na něho</w:t>
      </w:r>
      <w:r w:rsidR="00F405DE">
        <w:t xml:space="preserve"> (tj. tel. č. a e-mail)</w:t>
      </w:r>
      <w:r w:rsidRPr="00FF34C7">
        <w:t xml:space="preserve">, název zakázky, finanční objem, období realizace a stručný popis </w:t>
      </w:r>
      <w:r w:rsidR="00250522">
        <w:t>zakázky</w:t>
      </w:r>
      <w:r w:rsidRPr="00FF34C7">
        <w:t xml:space="preserve"> včetně</w:t>
      </w:r>
      <w:r w:rsidR="00834685" w:rsidRPr="00FF34C7">
        <w:t xml:space="preserve"> </w:t>
      </w:r>
      <w:r w:rsidRPr="00FF34C7">
        <w:t xml:space="preserve">účelu a způsobu využití výsledků </w:t>
      </w:r>
      <w:r w:rsidR="00250522">
        <w:t>zakázky</w:t>
      </w:r>
      <w:r w:rsidRPr="00FF34C7">
        <w:t xml:space="preserve"> (jsou-li známy), případně webový odkaz na příslušný výstup zakázky, pokud byl zveřejněn.</w:t>
      </w:r>
    </w:p>
    <w:p w14:paraId="7386B65D" w14:textId="77777777" w:rsidR="00AB1FB5" w:rsidRPr="00AB1FB5" w:rsidRDefault="00AB1FB5" w:rsidP="00AB1FB5">
      <w:pPr>
        <w:spacing w:before="120"/>
        <w:jc w:val="both"/>
      </w:pPr>
    </w:p>
    <w:p w14:paraId="3C348A3D" w14:textId="5DA1019A" w:rsidR="00F84499" w:rsidRPr="00AF01A6" w:rsidRDefault="006A547C" w:rsidP="00AF01A6">
      <w:pPr>
        <w:suppressAutoHyphens/>
        <w:autoSpaceDN w:val="0"/>
        <w:spacing w:before="120"/>
        <w:jc w:val="both"/>
        <w:textAlignment w:val="baseline"/>
        <w:rPr>
          <w:b/>
        </w:rPr>
      </w:pPr>
      <w:r w:rsidRPr="00AF01A6">
        <w:rPr>
          <w:rFonts w:eastAsia="Calibri"/>
          <w:b/>
          <w:lang w:eastAsia="en-US"/>
        </w:rPr>
        <w:t>Nabídky uchazečů, které nebudou splňovat požadavky</w:t>
      </w:r>
      <w:r w:rsidR="00AF01A6" w:rsidRPr="00AF01A6">
        <w:rPr>
          <w:rFonts w:eastAsia="Calibri"/>
          <w:b/>
          <w:lang w:eastAsia="en-US"/>
        </w:rPr>
        <w:t xml:space="preserve"> dle bodů 4.1., 4.2. a 4.3. této zadávací dokumentace, nebudou hodnoceny.</w:t>
      </w:r>
    </w:p>
    <w:p w14:paraId="46A81B5B" w14:textId="35D33415" w:rsidR="00A438E7" w:rsidRDefault="00A438E7" w:rsidP="002C4F9C">
      <w:pPr>
        <w:pStyle w:val="Bezmezer"/>
        <w:rPr>
          <w:rFonts w:ascii="Times New Roman" w:hAnsi="Times New Roman" w:cs="Times New Roman"/>
          <w:sz w:val="24"/>
          <w:szCs w:val="24"/>
        </w:rPr>
      </w:pPr>
    </w:p>
    <w:p w14:paraId="0281E891" w14:textId="4CC3BB79" w:rsidR="00512BE9" w:rsidRDefault="00512BE9" w:rsidP="002C4F9C">
      <w:pPr>
        <w:pStyle w:val="Bezmezer"/>
        <w:rPr>
          <w:rFonts w:ascii="Times New Roman" w:hAnsi="Times New Roman" w:cs="Times New Roman"/>
          <w:sz w:val="24"/>
          <w:szCs w:val="24"/>
        </w:rPr>
      </w:pPr>
    </w:p>
    <w:p w14:paraId="0BFBDEAA" w14:textId="5899D1BC" w:rsidR="00512BE9" w:rsidRDefault="00512BE9" w:rsidP="002C4F9C">
      <w:pPr>
        <w:pStyle w:val="Bezmezer"/>
        <w:rPr>
          <w:rFonts w:ascii="Times New Roman" w:hAnsi="Times New Roman" w:cs="Times New Roman"/>
          <w:sz w:val="24"/>
          <w:szCs w:val="24"/>
        </w:rPr>
      </w:pPr>
    </w:p>
    <w:p w14:paraId="200FF90F" w14:textId="1FD26D2C" w:rsidR="00512BE9" w:rsidRDefault="00512BE9" w:rsidP="002C4F9C">
      <w:pPr>
        <w:pStyle w:val="Bezmezer"/>
        <w:rPr>
          <w:rFonts w:ascii="Times New Roman" w:hAnsi="Times New Roman" w:cs="Times New Roman"/>
          <w:sz w:val="24"/>
          <w:szCs w:val="24"/>
        </w:rPr>
      </w:pPr>
    </w:p>
    <w:p w14:paraId="66B2F7B7" w14:textId="77777777" w:rsidR="00512BE9" w:rsidRDefault="00512BE9" w:rsidP="002C4F9C">
      <w:pPr>
        <w:pStyle w:val="Bezmezer"/>
        <w:rPr>
          <w:rFonts w:ascii="Times New Roman" w:hAnsi="Times New Roman" w:cs="Times New Roman"/>
          <w:sz w:val="24"/>
          <w:szCs w:val="24"/>
        </w:rPr>
      </w:pPr>
    </w:p>
    <w:p w14:paraId="3A2E39B1" w14:textId="77777777" w:rsidR="002C4F9C" w:rsidRPr="00063454" w:rsidRDefault="002C4F9C" w:rsidP="000401B4">
      <w:pPr>
        <w:pStyle w:val="Odstavecseseznamem"/>
        <w:widowControl w:val="0"/>
        <w:numPr>
          <w:ilvl w:val="0"/>
          <w:numId w:val="4"/>
        </w:numPr>
        <w:pBdr>
          <w:top w:val="single" w:sz="4" w:space="1" w:color="auto"/>
          <w:left w:val="single" w:sz="4" w:space="4" w:color="auto"/>
          <w:bottom w:val="single" w:sz="4" w:space="1" w:color="auto"/>
          <w:right w:val="single" w:sz="4" w:space="4" w:color="auto"/>
        </w:pBdr>
        <w:tabs>
          <w:tab w:val="left" w:pos="432"/>
          <w:tab w:val="left" w:pos="1152"/>
          <w:tab w:val="left" w:pos="1584"/>
          <w:tab w:val="left" w:pos="1728"/>
          <w:tab w:val="left" w:pos="3312"/>
          <w:tab w:val="left" w:pos="4032"/>
        </w:tabs>
        <w:suppressAutoHyphens/>
        <w:autoSpaceDN w:val="0"/>
        <w:spacing w:before="120"/>
        <w:ind w:hanging="720"/>
        <w:contextualSpacing w:val="0"/>
        <w:jc w:val="both"/>
        <w:textAlignment w:val="baseline"/>
        <w:rPr>
          <w:b/>
        </w:rPr>
      </w:pPr>
      <w:r>
        <w:rPr>
          <w:b/>
        </w:rPr>
        <w:lastRenderedPageBreak/>
        <w:t>Hodnota veřejné</w:t>
      </w:r>
      <w:r w:rsidRPr="00063454">
        <w:rPr>
          <w:b/>
        </w:rPr>
        <w:t xml:space="preserve"> </w:t>
      </w:r>
      <w:r>
        <w:rPr>
          <w:b/>
        </w:rPr>
        <w:t xml:space="preserve">zakázky </w:t>
      </w:r>
    </w:p>
    <w:p w14:paraId="1A6807A8" w14:textId="2464D0E1" w:rsidR="002C4F9C" w:rsidRPr="0066163E" w:rsidRDefault="002C4F9C" w:rsidP="002C4F9C">
      <w:pPr>
        <w:spacing w:before="120"/>
        <w:jc w:val="both"/>
      </w:pPr>
      <w:r>
        <w:t xml:space="preserve">Cena za služby v rámci této veřejné zakázky je </w:t>
      </w:r>
      <w:r w:rsidR="006A547C">
        <w:t xml:space="preserve">předpokládána ve výši maximálně </w:t>
      </w:r>
      <w:r w:rsidR="006A547C" w:rsidRPr="006A547C">
        <w:rPr>
          <w:b/>
        </w:rPr>
        <w:t>650</w:t>
      </w:r>
      <w:r w:rsidRPr="006A547C">
        <w:rPr>
          <w:b/>
          <w:bCs/>
        </w:rPr>
        <w:t> 000,- Kč bez daně z přidané hodnoty</w:t>
      </w:r>
      <w:r w:rsidRPr="00B6753E">
        <w:t>,</w:t>
      </w:r>
      <w:r w:rsidRPr="00B86CCD">
        <w:t xml:space="preserve"> přičemž</w:t>
      </w:r>
      <w:r>
        <w:t xml:space="preserve"> tato hodnota zahrnuje hodnotu všech plnění na služby požadovaných zadavatelem.</w:t>
      </w:r>
    </w:p>
    <w:p w14:paraId="23FA6F08" w14:textId="77777777" w:rsidR="002C4F9C" w:rsidRPr="007C3B47" w:rsidRDefault="002C4F9C" w:rsidP="002C4F9C">
      <w:pPr>
        <w:pStyle w:val="Bezmezer"/>
        <w:rPr>
          <w:rFonts w:ascii="Times New Roman" w:hAnsi="Times New Roman" w:cs="Times New Roman"/>
          <w:sz w:val="24"/>
          <w:szCs w:val="24"/>
        </w:rPr>
      </w:pPr>
    </w:p>
    <w:p w14:paraId="75BD60CD" w14:textId="3F06662B" w:rsidR="00A438E7" w:rsidRPr="00CA3BFC" w:rsidRDefault="006A547C" w:rsidP="00CA3BFC">
      <w:pPr>
        <w:pStyle w:val="Bezmezer"/>
        <w:jc w:val="both"/>
        <w:rPr>
          <w:rFonts w:ascii="Times New Roman" w:hAnsi="Times New Roman" w:cs="Times New Roman"/>
          <w:sz w:val="24"/>
          <w:szCs w:val="24"/>
        </w:rPr>
      </w:pPr>
      <w:r>
        <w:rPr>
          <w:rFonts w:ascii="Times New Roman" w:hAnsi="Times New Roman" w:cs="Times New Roman"/>
          <w:sz w:val="24"/>
          <w:szCs w:val="24"/>
        </w:rPr>
        <w:t>Z</w:t>
      </w:r>
      <w:r w:rsidR="00F45344">
        <w:rPr>
          <w:rFonts w:ascii="Times New Roman" w:hAnsi="Times New Roman" w:cs="Times New Roman"/>
          <w:sz w:val="24"/>
          <w:szCs w:val="24"/>
        </w:rPr>
        <w:t>adavatel</w:t>
      </w:r>
      <w:r w:rsidR="00512BE9">
        <w:rPr>
          <w:rFonts w:ascii="Times New Roman" w:hAnsi="Times New Roman" w:cs="Times New Roman"/>
          <w:sz w:val="24"/>
          <w:szCs w:val="24"/>
        </w:rPr>
        <w:t>é</w:t>
      </w:r>
      <w:r w:rsidR="00F45344">
        <w:rPr>
          <w:rFonts w:ascii="Times New Roman" w:hAnsi="Times New Roman" w:cs="Times New Roman"/>
          <w:sz w:val="24"/>
          <w:szCs w:val="24"/>
        </w:rPr>
        <w:t xml:space="preserve"> </w:t>
      </w:r>
      <w:r>
        <w:rPr>
          <w:rFonts w:ascii="Times New Roman" w:hAnsi="Times New Roman" w:cs="Times New Roman"/>
          <w:sz w:val="24"/>
          <w:szCs w:val="24"/>
        </w:rPr>
        <w:t>ne</w:t>
      </w:r>
      <w:r w:rsidR="00F45344">
        <w:rPr>
          <w:rFonts w:ascii="Times New Roman" w:hAnsi="Times New Roman" w:cs="Times New Roman"/>
          <w:sz w:val="24"/>
          <w:szCs w:val="24"/>
        </w:rPr>
        <w:t>stanovil</w:t>
      </w:r>
      <w:r w:rsidR="00512BE9">
        <w:rPr>
          <w:rFonts w:ascii="Times New Roman" w:hAnsi="Times New Roman" w:cs="Times New Roman"/>
          <w:sz w:val="24"/>
          <w:szCs w:val="24"/>
        </w:rPr>
        <w:t>i</w:t>
      </w:r>
      <w:r w:rsidR="00F45344">
        <w:rPr>
          <w:rFonts w:ascii="Times New Roman" w:hAnsi="Times New Roman" w:cs="Times New Roman"/>
          <w:sz w:val="24"/>
          <w:szCs w:val="24"/>
        </w:rPr>
        <w:t xml:space="preserve"> </w:t>
      </w:r>
      <w:r w:rsidR="00F45344" w:rsidRPr="00F45344">
        <w:rPr>
          <w:rFonts w:ascii="Times New Roman" w:hAnsi="Times New Roman" w:cs="Times New Roman"/>
          <w:sz w:val="24"/>
          <w:szCs w:val="24"/>
        </w:rPr>
        <w:t xml:space="preserve">pevnou cenu </w:t>
      </w:r>
      <w:r w:rsidR="00F45344">
        <w:rPr>
          <w:rFonts w:ascii="Times New Roman" w:hAnsi="Times New Roman" w:cs="Times New Roman"/>
          <w:sz w:val="24"/>
          <w:szCs w:val="24"/>
        </w:rPr>
        <w:t>za splnění veřejné zakázky</w:t>
      </w:r>
      <w:r>
        <w:rPr>
          <w:rFonts w:ascii="Times New Roman" w:hAnsi="Times New Roman" w:cs="Times New Roman"/>
          <w:sz w:val="24"/>
          <w:szCs w:val="24"/>
        </w:rPr>
        <w:t>. Nabídková cena je hodnocena v rámci nabízeného plnění.</w:t>
      </w:r>
      <w:r w:rsidR="002C4F9C">
        <w:rPr>
          <w:rFonts w:ascii="Times New Roman" w:hAnsi="Times New Roman" w:cs="Times New Roman"/>
          <w:sz w:val="24"/>
          <w:szCs w:val="24"/>
        </w:rPr>
        <w:t xml:space="preserve"> </w:t>
      </w:r>
      <w:r w:rsidR="00CA3BFC" w:rsidRPr="00CA3BFC">
        <w:rPr>
          <w:rFonts w:ascii="Times New Roman" w:hAnsi="Times New Roman" w:cs="Times New Roman"/>
          <w:sz w:val="24"/>
          <w:szCs w:val="24"/>
        </w:rPr>
        <w:t>Zadavatel</w:t>
      </w:r>
      <w:r w:rsidR="00512BE9">
        <w:rPr>
          <w:rFonts w:ascii="Times New Roman" w:hAnsi="Times New Roman" w:cs="Times New Roman"/>
          <w:sz w:val="24"/>
          <w:szCs w:val="24"/>
        </w:rPr>
        <w:t>é</w:t>
      </w:r>
      <w:r w:rsidR="00CA3BFC" w:rsidRPr="00CA3BFC">
        <w:rPr>
          <w:rFonts w:ascii="Times New Roman" w:hAnsi="Times New Roman" w:cs="Times New Roman"/>
          <w:sz w:val="24"/>
          <w:szCs w:val="24"/>
        </w:rPr>
        <w:t xml:space="preserve"> </w:t>
      </w:r>
      <w:r w:rsidR="00CA3BFC">
        <w:rPr>
          <w:rFonts w:ascii="Times New Roman" w:hAnsi="Times New Roman" w:cs="Times New Roman"/>
          <w:sz w:val="24"/>
          <w:szCs w:val="24"/>
        </w:rPr>
        <w:t xml:space="preserve">však </w:t>
      </w:r>
      <w:r w:rsidR="00CA3BFC" w:rsidRPr="00CA3BFC">
        <w:rPr>
          <w:rFonts w:ascii="Times New Roman" w:hAnsi="Times New Roman" w:cs="Times New Roman"/>
          <w:sz w:val="24"/>
          <w:szCs w:val="24"/>
        </w:rPr>
        <w:t>nepřipouští překročení uveden</w:t>
      </w:r>
      <w:r w:rsidR="00CA3BFC">
        <w:rPr>
          <w:rFonts w:ascii="Times New Roman" w:hAnsi="Times New Roman" w:cs="Times New Roman"/>
          <w:sz w:val="24"/>
          <w:szCs w:val="24"/>
        </w:rPr>
        <w:t>é</w:t>
      </w:r>
      <w:r w:rsidR="00CA3BFC" w:rsidRPr="00CA3BFC">
        <w:rPr>
          <w:rFonts w:ascii="Times New Roman" w:hAnsi="Times New Roman" w:cs="Times New Roman"/>
          <w:sz w:val="24"/>
          <w:szCs w:val="24"/>
        </w:rPr>
        <w:t xml:space="preserve"> částk</w:t>
      </w:r>
      <w:r w:rsidR="00CA3BFC">
        <w:rPr>
          <w:rFonts w:ascii="Times New Roman" w:hAnsi="Times New Roman" w:cs="Times New Roman"/>
          <w:sz w:val="24"/>
          <w:szCs w:val="24"/>
        </w:rPr>
        <w:t>y</w:t>
      </w:r>
      <w:r w:rsidR="00CA3BFC" w:rsidRPr="00CA3BFC">
        <w:rPr>
          <w:rFonts w:ascii="Times New Roman" w:hAnsi="Times New Roman" w:cs="Times New Roman"/>
          <w:sz w:val="24"/>
          <w:szCs w:val="24"/>
        </w:rPr>
        <w:t xml:space="preserve"> v nabídkách dodavatelů, tj. překročení maximální celkové ceny za veřejnou zakázk</w:t>
      </w:r>
      <w:r w:rsidR="00CA3BFC">
        <w:rPr>
          <w:rFonts w:ascii="Times New Roman" w:hAnsi="Times New Roman" w:cs="Times New Roman"/>
          <w:sz w:val="24"/>
          <w:szCs w:val="24"/>
        </w:rPr>
        <w:t>u.</w:t>
      </w:r>
    </w:p>
    <w:p w14:paraId="5630324A" w14:textId="77777777" w:rsidR="004D2664" w:rsidRDefault="004D2664" w:rsidP="002C4F9C">
      <w:pPr>
        <w:spacing w:after="120"/>
        <w:jc w:val="both"/>
      </w:pPr>
    </w:p>
    <w:p w14:paraId="59CEEC3F" w14:textId="77777777" w:rsidR="002C4F9C" w:rsidRPr="00EE0EAA" w:rsidRDefault="002C4F9C" w:rsidP="000401B4">
      <w:pPr>
        <w:widowControl w:val="0"/>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
          <w:tab w:val="left" w:pos="1152"/>
          <w:tab w:val="left" w:pos="1584"/>
          <w:tab w:val="left" w:pos="1728"/>
          <w:tab w:val="left" w:pos="3312"/>
          <w:tab w:val="left" w:pos="4032"/>
        </w:tabs>
        <w:spacing w:before="120"/>
        <w:ind w:hanging="720"/>
        <w:jc w:val="both"/>
        <w:rPr>
          <w:b/>
        </w:rPr>
      </w:pPr>
      <w:bookmarkStart w:id="3" w:name="_Hlk13655237"/>
      <w:r w:rsidRPr="00EE0EAA">
        <w:rPr>
          <w:b/>
        </w:rPr>
        <w:t>Obsah nabídky, způsob jejího podání a lhůta pro její podání</w:t>
      </w:r>
    </w:p>
    <w:bookmarkEnd w:id="3"/>
    <w:p w14:paraId="724A1CE7" w14:textId="77777777" w:rsidR="002C4F9C" w:rsidRPr="00F40C27" w:rsidRDefault="002C4F9C" w:rsidP="00191196">
      <w:pPr>
        <w:pStyle w:val="Bezmezer"/>
        <w:rPr>
          <w:rFonts w:ascii="Times New Roman" w:hAnsi="Times New Roman" w:cs="Times New Roman"/>
          <w:sz w:val="24"/>
          <w:szCs w:val="24"/>
        </w:rPr>
      </w:pPr>
    </w:p>
    <w:p w14:paraId="2043B8F7" w14:textId="77777777" w:rsidR="002C4F9C" w:rsidRPr="00191196" w:rsidRDefault="00A918EC" w:rsidP="00191196">
      <w:pPr>
        <w:spacing w:before="120"/>
        <w:jc w:val="both"/>
        <w:rPr>
          <w:b/>
        </w:rPr>
      </w:pPr>
      <w:r>
        <w:rPr>
          <w:b/>
        </w:rPr>
        <w:t>6. 1. Náležitosti nabíd</w:t>
      </w:r>
      <w:r w:rsidR="002C4F9C" w:rsidRPr="00191196">
        <w:rPr>
          <w:b/>
        </w:rPr>
        <w:t>k</w:t>
      </w:r>
      <w:r>
        <w:rPr>
          <w:b/>
        </w:rPr>
        <w:t>y</w:t>
      </w:r>
    </w:p>
    <w:p w14:paraId="611B96B3" w14:textId="77777777" w:rsidR="002C4F9C" w:rsidRDefault="002C4F9C" w:rsidP="00191196">
      <w:pPr>
        <w:numPr>
          <w:ilvl w:val="12"/>
          <w:numId w:val="0"/>
        </w:numPr>
      </w:pPr>
    </w:p>
    <w:p w14:paraId="7A7128FD" w14:textId="3499649A" w:rsidR="00D4486B" w:rsidRPr="005F5636" w:rsidRDefault="00D4486B" w:rsidP="005F5636">
      <w:pPr>
        <w:pStyle w:val="Bezmezer"/>
        <w:jc w:val="both"/>
        <w:rPr>
          <w:rFonts w:ascii="Times New Roman" w:hAnsi="Times New Roman" w:cs="Times New Roman"/>
          <w:b/>
          <w:bCs/>
          <w:sz w:val="24"/>
          <w:szCs w:val="24"/>
        </w:rPr>
      </w:pPr>
      <w:r w:rsidRPr="005F5636">
        <w:rPr>
          <w:rFonts w:ascii="Times New Roman" w:hAnsi="Times New Roman" w:cs="Times New Roman"/>
          <w:sz w:val="24"/>
          <w:szCs w:val="24"/>
        </w:rPr>
        <w:t xml:space="preserve">Nabídka bude zpracována v </w:t>
      </w:r>
      <w:r w:rsidRPr="005F5636">
        <w:rPr>
          <w:rFonts w:ascii="Times New Roman" w:hAnsi="Times New Roman" w:cs="Times New Roman"/>
          <w:b/>
          <w:bCs/>
          <w:sz w:val="24"/>
          <w:szCs w:val="24"/>
        </w:rPr>
        <w:t>jedné</w:t>
      </w:r>
      <w:r w:rsidRPr="005F5636">
        <w:rPr>
          <w:rFonts w:ascii="Times New Roman" w:hAnsi="Times New Roman" w:cs="Times New Roman"/>
          <w:sz w:val="24"/>
          <w:szCs w:val="24"/>
        </w:rPr>
        <w:t xml:space="preserve"> </w:t>
      </w:r>
      <w:r w:rsidRPr="005F5636">
        <w:rPr>
          <w:rFonts w:ascii="Times New Roman" w:hAnsi="Times New Roman" w:cs="Times New Roman"/>
          <w:b/>
          <w:bCs/>
          <w:sz w:val="24"/>
          <w:szCs w:val="24"/>
        </w:rPr>
        <w:t>variantě</w:t>
      </w:r>
      <w:r w:rsidRPr="005F5636">
        <w:rPr>
          <w:rFonts w:ascii="Times New Roman" w:hAnsi="Times New Roman" w:cs="Times New Roman"/>
          <w:sz w:val="24"/>
          <w:szCs w:val="24"/>
        </w:rPr>
        <w:t xml:space="preserve">, v českém </w:t>
      </w:r>
      <w:r w:rsidR="00CF2F60" w:rsidRPr="005F5636">
        <w:rPr>
          <w:rFonts w:ascii="Times New Roman" w:hAnsi="Times New Roman" w:cs="Times New Roman"/>
          <w:sz w:val="24"/>
          <w:szCs w:val="24"/>
        </w:rPr>
        <w:t xml:space="preserve">nebo slovenském </w:t>
      </w:r>
      <w:r w:rsidRPr="005F5636">
        <w:rPr>
          <w:rFonts w:ascii="Times New Roman" w:hAnsi="Times New Roman" w:cs="Times New Roman"/>
          <w:sz w:val="24"/>
          <w:szCs w:val="24"/>
        </w:rPr>
        <w:t>jazyce,</w:t>
      </w:r>
      <w:r w:rsidR="00CA3BFC" w:rsidRPr="005F5636">
        <w:rPr>
          <w:rFonts w:ascii="Times New Roman" w:hAnsi="Times New Roman" w:cs="Times New Roman"/>
          <w:sz w:val="24"/>
          <w:szCs w:val="24"/>
        </w:rPr>
        <w:t xml:space="preserve"> v elektronické podobě a musí obsahovat</w:t>
      </w:r>
      <w:r w:rsidRPr="005F5636">
        <w:rPr>
          <w:rFonts w:ascii="Times New Roman" w:hAnsi="Times New Roman" w:cs="Times New Roman"/>
          <w:sz w:val="24"/>
          <w:szCs w:val="24"/>
        </w:rPr>
        <w:t>:</w:t>
      </w:r>
    </w:p>
    <w:p w14:paraId="623E7B8D" w14:textId="76087D7A" w:rsidR="002F4F29" w:rsidRPr="005F5636" w:rsidRDefault="00A30230" w:rsidP="000401B4">
      <w:pPr>
        <w:pStyle w:val="Bezmezer"/>
        <w:numPr>
          <w:ilvl w:val="0"/>
          <w:numId w:val="14"/>
        </w:numPr>
        <w:jc w:val="both"/>
        <w:rPr>
          <w:rFonts w:ascii="Times New Roman" w:hAnsi="Times New Roman" w:cs="Times New Roman"/>
          <w:sz w:val="24"/>
          <w:szCs w:val="24"/>
        </w:rPr>
      </w:pPr>
      <w:r w:rsidRPr="005F5636">
        <w:rPr>
          <w:rFonts w:ascii="Times New Roman" w:hAnsi="Times New Roman" w:cs="Times New Roman"/>
          <w:sz w:val="24"/>
          <w:szCs w:val="24"/>
        </w:rPr>
        <w:t xml:space="preserve">vyplněný </w:t>
      </w:r>
      <w:r w:rsidRPr="005F5636">
        <w:rPr>
          <w:rFonts w:ascii="Times New Roman" w:hAnsi="Times New Roman" w:cs="Times New Roman"/>
          <w:b/>
          <w:sz w:val="24"/>
          <w:szCs w:val="24"/>
        </w:rPr>
        <w:t>Krycí list nabídky</w:t>
      </w:r>
      <w:r w:rsidRPr="005F5636">
        <w:rPr>
          <w:rFonts w:ascii="Times New Roman" w:hAnsi="Times New Roman" w:cs="Times New Roman"/>
          <w:sz w:val="24"/>
          <w:szCs w:val="24"/>
        </w:rPr>
        <w:t xml:space="preserve">, </w:t>
      </w:r>
      <w:r w:rsidR="00F45344" w:rsidRPr="005F5636">
        <w:rPr>
          <w:rFonts w:ascii="Times New Roman" w:hAnsi="Times New Roman" w:cs="Times New Roman"/>
          <w:sz w:val="24"/>
          <w:szCs w:val="24"/>
        </w:rPr>
        <w:t xml:space="preserve">jehož vzor </w:t>
      </w:r>
      <w:r w:rsidRPr="005F5636">
        <w:rPr>
          <w:rFonts w:ascii="Times New Roman" w:hAnsi="Times New Roman" w:cs="Times New Roman"/>
          <w:sz w:val="24"/>
          <w:szCs w:val="24"/>
        </w:rPr>
        <w:t>tvoří přílohu č. 1 těchto zadávacích podmínek</w:t>
      </w:r>
      <w:r w:rsidR="002F4F29" w:rsidRPr="005F5636">
        <w:rPr>
          <w:rFonts w:ascii="Times New Roman" w:hAnsi="Times New Roman" w:cs="Times New Roman"/>
          <w:sz w:val="24"/>
          <w:szCs w:val="24"/>
        </w:rPr>
        <w:t xml:space="preserve"> (zde zadavatel upozorňuje, že </w:t>
      </w:r>
      <w:r w:rsidR="00AB1FB5" w:rsidRPr="005F5636">
        <w:rPr>
          <w:rFonts w:ascii="Times New Roman" w:hAnsi="Times New Roman" w:cs="Times New Roman"/>
          <w:sz w:val="24"/>
          <w:szCs w:val="24"/>
        </w:rPr>
        <w:t xml:space="preserve">je </w:t>
      </w:r>
      <w:r w:rsidR="002F4F29" w:rsidRPr="005F5636">
        <w:rPr>
          <w:rFonts w:ascii="Times New Roman" w:hAnsi="Times New Roman" w:cs="Times New Roman"/>
          <w:sz w:val="24"/>
          <w:szCs w:val="24"/>
        </w:rPr>
        <w:t xml:space="preserve">uchazeč </w:t>
      </w:r>
      <w:r w:rsidR="00AB1FB5" w:rsidRPr="005F5636">
        <w:rPr>
          <w:rFonts w:ascii="Times New Roman" w:hAnsi="Times New Roman" w:cs="Times New Roman"/>
          <w:sz w:val="24"/>
          <w:szCs w:val="24"/>
        </w:rPr>
        <w:t>povinen zde</w:t>
      </w:r>
      <w:r w:rsidR="002F4F29" w:rsidRPr="005F5636">
        <w:rPr>
          <w:rFonts w:ascii="Times New Roman" w:hAnsi="Times New Roman" w:cs="Times New Roman"/>
          <w:sz w:val="24"/>
          <w:szCs w:val="24"/>
        </w:rPr>
        <w:t xml:space="preserve"> </w:t>
      </w:r>
      <w:r w:rsidR="002F4F29" w:rsidRPr="005F5636">
        <w:rPr>
          <w:rFonts w:ascii="Times New Roman" w:hAnsi="Times New Roman" w:cs="Times New Roman"/>
          <w:b/>
          <w:sz w:val="24"/>
          <w:szCs w:val="24"/>
        </w:rPr>
        <w:t>vyplnit i hypertextový odkaz</w:t>
      </w:r>
      <w:r w:rsidR="002F4F29" w:rsidRPr="005F5636">
        <w:rPr>
          <w:rFonts w:ascii="Times New Roman" w:hAnsi="Times New Roman" w:cs="Times New Roman"/>
          <w:sz w:val="24"/>
          <w:szCs w:val="24"/>
        </w:rPr>
        <w:t xml:space="preserve"> na veřejnou část dané evidence</w:t>
      </w:r>
      <w:r w:rsidR="00BA3456" w:rsidRPr="005F5636">
        <w:rPr>
          <w:rFonts w:ascii="Times New Roman" w:hAnsi="Times New Roman" w:cs="Times New Roman"/>
          <w:sz w:val="24"/>
          <w:szCs w:val="24"/>
        </w:rPr>
        <w:t xml:space="preserve"> v souladu s bodem 4. 2. těchto zadávacích podmínek</w:t>
      </w:r>
      <w:r w:rsidR="002F4F29" w:rsidRPr="005F5636">
        <w:rPr>
          <w:rFonts w:ascii="Times New Roman" w:hAnsi="Times New Roman" w:cs="Times New Roman"/>
          <w:sz w:val="24"/>
          <w:szCs w:val="24"/>
        </w:rPr>
        <w:t xml:space="preserve">). V případě společné </w:t>
      </w:r>
      <w:r w:rsidR="00F45344" w:rsidRPr="005F5636">
        <w:rPr>
          <w:rFonts w:ascii="Times New Roman" w:hAnsi="Times New Roman" w:cs="Times New Roman"/>
          <w:sz w:val="24"/>
          <w:szCs w:val="24"/>
        </w:rPr>
        <w:t>nabídky</w:t>
      </w:r>
      <w:r w:rsidR="002F4F29" w:rsidRPr="005F5636">
        <w:rPr>
          <w:rFonts w:ascii="Times New Roman" w:hAnsi="Times New Roman" w:cs="Times New Roman"/>
          <w:sz w:val="24"/>
          <w:szCs w:val="24"/>
        </w:rPr>
        <w:t xml:space="preserve"> konsorcia několika dodavatelů musí být uvedena pouze 1 právnická osoba, která bude ve smluvním vztahu s objednatelem, a která bude zastupovat ostatní členy týmu nebo subjekty sdružené v konsorciu v jednání o záležitostech týkajících se realizace této veřejné zakázky. </w:t>
      </w:r>
      <w:r w:rsidR="00F45344" w:rsidRPr="005F5636">
        <w:rPr>
          <w:rFonts w:ascii="Times New Roman" w:hAnsi="Times New Roman" w:cs="Times New Roman"/>
          <w:sz w:val="24"/>
          <w:szCs w:val="24"/>
        </w:rPr>
        <w:t xml:space="preserve">Takové sdružení dodavatelů je </w:t>
      </w:r>
      <w:r w:rsidR="002F4F29" w:rsidRPr="005F5636">
        <w:rPr>
          <w:rFonts w:ascii="Times New Roman" w:hAnsi="Times New Roman" w:cs="Times New Roman"/>
          <w:sz w:val="24"/>
          <w:szCs w:val="24"/>
        </w:rPr>
        <w:t>považován</w:t>
      </w:r>
      <w:r w:rsidR="00F45344" w:rsidRPr="005F5636">
        <w:rPr>
          <w:rFonts w:ascii="Times New Roman" w:hAnsi="Times New Roman" w:cs="Times New Roman"/>
          <w:sz w:val="24"/>
          <w:szCs w:val="24"/>
        </w:rPr>
        <w:t>o</w:t>
      </w:r>
      <w:r w:rsidR="002F4F29" w:rsidRPr="005F5636">
        <w:rPr>
          <w:rFonts w:ascii="Times New Roman" w:hAnsi="Times New Roman" w:cs="Times New Roman"/>
          <w:sz w:val="24"/>
          <w:szCs w:val="24"/>
        </w:rPr>
        <w:t xml:space="preserve"> za jednoho zhotovitele,</w:t>
      </w:r>
    </w:p>
    <w:p w14:paraId="1216C3FD" w14:textId="058F3861" w:rsidR="004F69DF" w:rsidRPr="005F5636" w:rsidRDefault="00461959" w:rsidP="000401B4">
      <w:pPr>
        <w:pStyle w:val="Bezmezer"/>
        <w:numPr>
          <w:ilvl w:val="0"/>
          <w:numId w:val="14"/>
        </w:numPr>
        <w:jc w:val="both"/>
        <w:rPr>
          <w:rFonts w:ascii="Times New Roman" w:hAnsi="Times New Roman" w:cs="Times New Roman"/>
          <w:sz w:val="24"/>
          <w:szCs w:val="24"/>
        </w:rPr>
      </w:pPr>
      <w:r w:rsidRPr="005F5636">
        <w:rPr>
          <w:rFonts w:ascii="Times New Roman" w:hAnsi="Times New Roman" w:cs="Times New Roman"/>
          <w:sz w:val="24"/>
          <w:szCs w:val="24"/>
        </w:rPr>
        <w:t>n</w:t>
      </w:r>
      <w:r w:rsidR="004F69DF" w:rsidRPr="005F5636">
        <w:rPr>
          <w:rFonts w:ascii="Times New Roman" w:hAnsi="Times New Roman" w:cs="Times New Roman"/>
          <w:sz w:val="24"/>
          <w:szCs w:val="24"/>
        </w:rPr>
        <w:t>ávrh věcného řešení veřejné zakázky ze strany uchazeče s</w:t>
      </w:r>
      <w:r w:rsidR="005F5636">
        <w:rPr>
          <w:rFonts w:ascii="Times New Roman" w:hAnsi="Times New Roman" w:cs="Times New Roman"/>
          <w:sz w:val="24"/>
          <w:szCs w:val="24"/>
        </w:rPr>
        <w:t> </w:t>
      </w:r>
      <w:r w:rsidR="004F69DF" w:rsidRPr="005F5636">
        <w:rPr>
          <w:rFonts w:ascii="Times New Roman" w:hAnsi="Times New Roman" w:cs="Times New Roman"/>
          <w:sz w:val="24"/>
          <w:szCs w:val="24"/>
        </w:rPr>
        <w:t>názvem „</w:t>
      </w:r>
      <w:r w:rsidR="005F5636">
        <w:rPr>
          <w:rFonts w:ascii="Times New Roman" w:hAnsi="Times New Roman" w:cs="Times New Roman"/>
          <w:sz w:val="24"/>
          <w:szCs w:val="24"/>
        </w:rPr>
        <w:t>Metodika navrhovaného řešení</w:t>
      </w:r>
      <w:r w:rsidR="004F69DF" w:rsidRPr="005F5636">
        <w:rPr>
          <w:rFonts w:ascii="Times New Roman" w:hAnsi="Times New Roman" w:cs="Times New Roman"/>
          <w:sz w:val="24"/>
          <w:szCs w:val="24"/>
        </w:rPr>
        <w:t xml:space="preserve">“, který bude po věcné stránce stručně obsahovat popis metodiky </w:t>
      </w:r>
      <w:r w:rsidRPr="005F5636">
        <w:rPr>
          <w:rFonts w:ascii="Times New Roman" w:hAnsi="Times New Roman" w:cs="Times New Roman"/>
          <w:sz w:val="24"/>
          <w:szCs w:val="24"/>
        </w:rPr>
        <w:t xml:space="preserve">s ohledem na </w:t>
      </w:r>
      <w:r w:rsidR="008E302C" w:rsidRPr="005F5636">
        <w:rPr>
          <w:rFonts w:ascii="Times New Roman" w:hAnsi="Times New Roman" w:cs="Times New Roman"/>
          <w:sz w:val="24"/>
          <w:szCs w:val="24"/>
        </w:rPr>
        <w:t>kritérium Kvality nabízeného řešení dle bodu 8. této zadávací dokumentace,</w:t>
      </w:r>
    </w:p>
    <w:p w14:paraId="4CCD8143" w14:textId="77777777" w:rsidR="002F4F29" w:rsidRPr="005F5636" w:rsidRDefault="002F4F29" w:rsidP="000401B4">
      <w:pPr>
        <w:pStyle w:val="Bezmezer"/>
        <w:numPr>
          <w:ilvl w:val="0"/>
          <w:numId w:val="14"/>
        </w:numPr>
        <w:jc w:val="both"/>
        <w:rPr>
          <w:rFonts w:ascii="Times New Roman" w:hAnsi="Times New Roman" w:cs="Times New Roman"/>
          <w:sz w:val="24"/>
          <w:szCs w:val="24"/>
        </w:rPr>
      </w:pPr>
      <w:r w:rsidRPr="005F5636">
        <w:rPr>
          <w:rFonts w:ascii="Times New Roman" w:hAnsi="Times New Roman" w:cs="Times New Roman"/>
          <w:sz w:val="24"/>
          <w:szCs w:val="24"/>
        </w:rPr>
        <w:t>čestné prohlášení dle bodu 4</w:t>
      </w:r>
      <w:r w:rsidR="00BA3456" w:rsidRPr="005F5636">
        <w:rPr>
          <w:rFonts w:ascii="Times New Roman" w:hAnsi="Times New Roman" w:cs="Times New Roman"/>
          <w:sz w:val="24"/>
          <w:szCs w:val="24"/>
        </w:rPr>
        <w:t>. 1.</w:t>
      </w:r>
      <w:r w:rsidRPr="005F5636">
        <w:rPr>
          <w:rFonts w:ascii="Times New Roman" w:hAnsi="Times New Roman" w:cs="Times New Roman"/>
          <w:sz w:val="24"/>
          <w:szCs w:val="24"/>
        </w:rPr>
        <w:t xml:space="preserve"> těchto zadávacích podmínek</w:t>
      </w:r>
      <w:r w:rsidR="00A30230" w:rsidRPr="005F5636">
        <w:rPr>
          <w:rFonts w:ascii="Times New Roman" w:hAnsi="Times New Roman" w:cs="Times New Roman"/>
          <w:sz w:val="24"/>
          <w:szCs w:val="24"/>
        </w:rPr>
        <w:t>,</w:t>
      </w:r>
      <w:r w:rsidRPr="005F5636">
        <w:rPr>
          <w:rFonts w:ascii="Times New Roman" w:hAnsi="Times New Roman" w:cs="Times New Roman"/>
          <w:sz w:val="24"/>
          <w:szCs w:val="24"/>
        </w:rPr>
        <w:t xml:space="preserve"> </w:t>
      </w:r>
    </w:p>
    <w:p w14:paraId="02E4C3CE" w14:textId="186F0C23" w:rsidR="00566D18" w:rsidRPr="005F5636" w:rsidRDefault="002F4F29" w:rsidP="000401B4">
      <w:pPr>
        <w:pStyle w:val="Bezmezer"/>
        <w:numPr>
          <w:ilvl w:val="0"/>
          <w:numId w:val="14"/>
        </w:numPr>
        <w:jc w:val="both"/>
        <w:rPr>
          <w:rFonts w:ascii="Times New Roman" w:hAnsi="Times New Roman" w:cs="Times New Roman"/>
          <w:sz w:val="24"/>
          <w:szCs w:val="24"/>
        </w:rPr>
      </w:pPr>
      <w:r w:rsidRPr="005F5636">
        <w:rPr>
          <w:rFonts w:ascii="Times New Roman" w:hAnsi="Times New Roman" w:cs="Times New Roman"/>
          <w:sz w:val="24"/>
          <w:szCs w:val="24"/>
        </w:rPr>
        <w:t xml:space="preserve">seznam referenčních zakázek dle </w:t>
      </w:r>
      <w:r w:rsidR="00AB1FB5" w:rsidRPr="005F5636">
        <w:rPr>
          <w:rFonts w:ascii="Times New Roman" w:hAnsi="Times New Roman" w:cs="Times New Roman"/>
          <w:sz w:val="24"/>
          <w:szCs w:val="24"/>
        </w:rPr>
        <w:t>b</w:t>
      </w:r>
      <w:r w:rsidRPr="005F5636">
        <w:rPr>
          <w:rFonts w:ascii="Times New Roman" w:hAnsi="Times New Roman" w:cs="Times New Roman"/>
          <w:sz w:val="24"/>
          <w:szCs w:val="24"/>
        </w:rPr>
        <w:t>odu 4</w:t>
      </w:r>
      <w:r w:rsidR="00566D18" w:rsidRPr="005F5636">
        <w:rPr>
          <w:rFonts w:ascii="Times New Roman" w:hAnsi="Times New Roman" w:cs="Times New Roman"/>
          <w:sz w:val="24"/>
          <w:szCs w:val="24"/>
        </w:rPr>
        <w:t>.</w:t>
      </w:r>
      <w:r w:rsidR="00CE6C44" w:rsidRPr="005F5636">
        <w:rPr>
          <w:rFonts w:ascii="Times New Roman" w:hAnsi="Times New Roman" w:cs="Times New Roman"/>
          <w:sz w:val="24"/>
          <w:szCs w:val="24"/>
        </w:rPr>
        <w:t xml:space="preserve"> </w:t>
      </w:r>
      <w:r w:rsidR="00966D01" w:rsidRPr="005F5636">
        <w:rPr>
          <w:rFonts w:ascii="Times New Roman" w:hAnsi="Times New Roman" w:cs="Times New Roman"/>
          <w:sz w:val="24"/>
          <w:szCs w:val="24"/>
        </w:rPr>
        <w:t>3</w:t>
      </w:r>
      <w:r w:rsidR="00CE6C44" w:rsidRPr="005F5636">
        <w:rPr>
          <w:rFonts w:ascii="Times New Roman" w:hAnsi="Times New Roman" w:cs="Times New Roman"/>
          <w:sz w:val="24"/>
          <w:szCs w:val="24"/>
        </w:rPr>
        <w:t xml:space="preserve">. </w:t>
      </w:r>
      <w:r w:rsidRPr="005F5636">
        <w:rPr>
          <w:rFonts w:ascii="Times New Roman" w:hAnsi="Times New Roman" w:cs="Times New Roman"/>
          <w:sz w:val="24"/>
          <w:szCs w:val="24"/>
        </w:rPr>
        <w:t>těchto zadávacích podmínek,</w:t>
      </w:r>
    </w:p>
    <w:p w14:paraId="1901AA2B" w14:textId="3C8E1D13" w:rsidR="002F4F29" w:rsidRPr="005B2690" w:rsidRDefault="002F4F29" w:rsidP="000401B4">
      <w:pPr>
        <w:pStyle w:val="Bezmezer"/>
        <w:numPr>
          <w:ilvl w:val="0"/>
          <w:numId w:val="14"/>
        </w:numPr>
        <w:jc w:val="both"/>
        <w:rPr>
          <w:rFonts w:ascii="Times New Roman" w:hAnsi="Times New Roman" w:cs="Times New Roman"/>
          <w:sz w:val="24"/>
          <w:szCs w:val="24"/>
        </w:rPr>
      </w:pPr>
      <w:r w:rsidRPr="005B2690">
        <w:rPr>
          <w:rFonts w:ascii="Times New Roman" w:hAnsi="Times New Roman" w:cs="Times New Roman"/>
          <w:sz w:val="24"/>
          <w:szCs w:val="24"/>
        </w:rPr>
        <w:t>prostá kopie</w:t>
      </w:r>
      <w:r w:rsidR="00566D18" w:rsidRPr="005B2690">
        <w:rPr>
          <w:rFonts w:ascii="Times New Roman" w:hAnsi="Times New Roman" w:cs="Times New Roman"/>
          <w:sz w:val="24"/>
          <w:szCs w:val="24"/>
        </w:rPr>
        <w:t xml:space="preserve"> (</w:t>
      </w:r>
      <w:proofErr w:type="spellStart"/>
      <w:r w:rsidR="00566D18" w:rsidRPr="005B2690">
        <w:rPr>
          <w:rFonts w:ascii="Times New Roman" w:hAnsi="Times New Roman" w:cs="Times New Roman"/>
          <w:sz w:val="24"/>
          <w:szCs w:val="24"/>
        </w:rPr>
        <w:t>scan</w:t>
      </w:r>
      <w:proofErr w:type="spellEnd"/>
      <w:r w:rsidR="00566D18" w:rsidRPr="005B2690">
        <w:rPr>
          <w:rFonts w:ascii="Times New Roman" w:hAnsi="Times New Roman" w:cs="Times New Roman"/>
          <w:sz w:val="24"/>
          <w:szCs w:val="24"/>
        </w:rPr>
        <w:t>)</w:t>
      </w:r>
      <w:r w:rsidRPr="005B2690">
        <w:rPr>
          <w:rFonts w:ascii="Times New Roman" w:hAnsi="Times New Roman" w:cs="Times New Roman"/>
          <w:sz w:val="24"/>
          <w:szCs w:val="24"/>
        </w:rPr>
        <w:t xml:space="preserve"> dokladu o oprávnění osoby jednat za dodavatele (např. plná moc, pověření apod.), pokud za dodavatele nejedná statutární orgán, jehož oprávnění k jednání vyplývá z obchodního rejstříku či jiné evidence.</w:t>
      </w:r>
    </w:p>
    <w:p w14:paraId="6FE9FF99" w14:textId="77777777" w:rsidR="00BE26DB" w:rsidRDefault="00BE26DB" w:rsidP="00181AA2">
      <w:pPr>
        <w:ind w:left="794"/>
        <w:rPr>
          <w:color w:val="000000"/>
        </w:rPr>
      </w:pPr>
    </w:p>
    <w:p w14:paraId="28B0B6D4" w14:textId="0D2B82FC" w:rsidR="00BE26DB" w:rsidRPr="00F66D0C" w:rsidRDefault="00BE26DB" w:rsidP="00191196">
      <w:pPr>
        <w:spacing w:after="120"/>
        <w:jc w:val="both"/>
      </w:pPr>
      <w:r>
        <w:t xml:space="preserve">Nabídka bude podepsána osobou oprávněnou jednat za dodavatele (u osob zapsaných ve veřejném rejstříku bude podepsána v souladu se způsobem jednání zapsaném </w:t>
      </w:r>
      <w:r w:rsidR="004D2664">
        <w:br/>
      </w:r>
      <w:r>
        <w:t>v předmětném veřejném rejstříku)</w:t>
      </w:r>
      <w:r w:rsidR="00C875C6">
        <w:t>.</w:t>
      </w:r>
      <w:r>
        <w:t xml:space="preserve"> </w:t>
      </w:r>
    </w:p>
    <w:p w14:paraId="1E629957" w14:textId="77777777" w:rsidR="000B7EBE" w:rsidRDefault="000B7EBE" w:rsidP="004F0695">
      <w:pPr>
        <w:spacing w:before="120"/>
        <w:jc w:val="both"/>
        <w:rPr>
          <w:b/>
        </w:rPr>
      </w:pPr>
      <w:bookmarkStart w:id="4" w:name="_Hlk26528535"/>
    </w:p>
    <w:p w14:paraId="47A16C88" w14:textId="77777777" w:rsidR="004F0695" w:rsidRPr="00A25FD4" w:rsidRDefault="004F0695" w:rsidP="00D4486B">
      <w:pPr>
        <w:spacing w:after="120"/>
        <w:jc w:val="both"/>
        <w:rPr>
          <w:b/>
        </w:rPr>
      </w:pPr>
      <w:r>
        <w:rPr>
          <w:b/>
        </w:rPr>
        <w:t>6. 2</w:t>
      </w:r>
      <w:r w:rsidRPr="00A25FD4">
        <w:rPr>
          <w:b/>
        </w:rPr>
        <w:t xml:space="preserve">. </w:t>
      </w:r>
      <w:r>
        <w:rPr>
          <w:b/>
        </w:rPr>
        <w:t>Způsob a l</w:t>
      </w:r>
      <w:r w:rsidRPr="00A25FD4">
        <w:rPr>
          <w:b/>
        </w:rPr>
        <w:t>hůta pro podání nabídek</w:t>
      </w:r>
    </w:p>
    <w:p w14:paraId="6FBEA0C0" w14:textId="77777777" w:rsidR="00CA3BFC" w:rsidRPr="00EB4F02" w:rsidRDefault="00CA3BFC" w:rsidP="00CA3BFC">
      <w:pPr>
        <w:pStyle w:val="Bezmezer"/>
        <w:jc w:val="both"/>
        <w:rPr>
          <w:rFonts w:ascii="Times New Roman" w:hAnsi="Times New Roman"/>
          <w:sz w:val="24"/>
          <w:szCs w:val="24"/>
        </w:rPr>
      </w:pPr>
      <w:r w:rsidRPr="00EB4F02">
        <w:rPr>
          <w:rFonts w:ascii="Times New Roman" w:hAnsi="Times New Roman"/>
          <w:sz w:val="24"/>
          <w:szCs w:val="24"/>
        </w:rPr>
        <w:t xml:space="preserve">Úplná nabídka uchazeče může být podána pouze elektronicky prostřednictvím </w:t>
      </w:r>
      <w:r w:rsidRPr="00EB4F02">
        <w:rPr>
          <w:rFonts w:ascii="Times New Roman" w:eastAsia="Times New Roman" w:hAnsi="Times New Roman"/>
          <w:sz w:val="24"/>
          <w:szCs w:val="24"/>
        </w:rPr>
        <w:t xml:space="preserve">elektronického nástroje E-ZAK (profil zadavatele je dostupný na webové adrese </w:t>
      </w:r>
      <w:hyperlink r:id="rId15" w:history="1">
        <w:r w:rsidRPr="00A16444">
          <w:rPr>
            <w:rStyle w:val="Hypertextovodkaz"/>
            <w:rFonts w:ascii="Times New Roman" w:eastAsia="Times New Roman" w:hAnsi="Times New Roman"/>
            <w:sz w:val="24"/>
            <w:szCs w:val="24"/>
          </w:rPr>
          <w:t>https://ezak.brno.cz/</w:t>
        </w:r>
      </w:hyperlink>
      <w:r w:rsidRPr="00EB4F02">
        <w:rPr>
          <w:rFonts w:ascii="Times New Roman" w:eastAsia="Times New Roman" w:hAnsi="Times New Roman"/>
          <w:sz w:val="24"/>
          <w:szCs w:val="24"/>
        </w:rPr>
        <w:t>).</w:t>
      </w:r>
    </w:p>
    <w:p w14:paraId="7F29D743" w14:textId="77777777" w:rsidR="00CA3BFC" w:rsidRPr="00EB4F02" w:rsidRDefault="00CA3BFC" w:rsidP="00CA3BFC">
      <w:pPr>
        <w:pStyle w:val="Bezmezer"/>
        <w:jc w:val="both"/>
        <w:rPr>
          <w:rFonts w:ascii="Times New Roman" w:hAnsi="Times New Roman"/>
          <w:sz w:val="24"/>
          <w:szCs w:val="24"/>
        </w:rPr>
      </w:pPr>
    </w:p>
    <w:p w14:paraId="03342CBD" w14:textId="77777777" w:rsidR="00CA3BFC" w:rsidRPr="00EB4F02" w:rsidRDefault="00CA3BFC" w:rsidP="00CA3BFC">
      <w:pPr>
        <w:pStyle w:val="Bezmezer"/>
        <w:jc w:val="both"/>
        <w:rPr>
          <w:rFonts w:ascii="Times New Roman" w:eastAsia="Times New Roman" w:hAnsi="Times New Roman"/>
          <w:sz w:val="24"/>
          <w:szCs w:val="24"/>
        </w:rPr>
      </w:pPr>
      <w:r w:rsidRPr="00EB4F02">
        <w:rPr>
          <w:rFonts w:ascii="Times New Roman" w:eastAsia="Times New Roman" w:hAnsi="Times New Roman"/>
          <w:sz w:val="24"/>
          <w:szCs w:val="24"/>
        </w:rPr>
        <w:t xml:space="preserve">Veškeré podmínky a informace týkající se elektronického nástroje jsou dostupné na webové adrese </w:t>
      </w:r>
      <w:hyperlink r:id="rId16" w:history="1">
        <w:r w:rsidRPr="00EB4F02">
          <w:rPr>
            <w:rStyle w:val="Hypertextovodkaz"/>
            <w:rFonts w:ascii="Times New Roman" w:eastAsia="Times New Roman" w:hAnsi="Times New Roman"/>
            <w:sz w:val="24"/>
            <w:szCs w:val="24"/>
          </w:rPr>
          <w:t>https://ezak.e-tenders.cz/data/manual/EZAK-Manual-Dodavatele.pdf</w:t>
        </w:r>
      </w:hyperlink>
      <w:r w:rsidRPr="00EB4F02">
        <w:rPr>
          <w:rFonts w:ascii="Times New Roman" w:eastAsia="Times New Roman" w:hAnsi="Times New Roman"/>
          <w:sz w:val="24"/>
          <w:szCs w:val="24"/>
        </w:rPr>
        <w:t>.</w:t>
      </w:r>
      <w:r>
        <w:rPr>
          <w:rFonts w:ascii="Times New Roman" w:eastAsia="Times New Roman" w:hAnsi="Times New Roman"/>
          <w:sz w:val="24"/>
          <w:szCs w:val="24"/>
        </w:rPr>
        <w:t xml:space="preserve"> </w:t>
      </w:r>
      <w:r w:rsidRPr="00EB4F02">
        <w:rPr>
          <w:rFonts w:ascii="Times New Roman" w:eastAsia="Times New Roman" w:hAnsi="Times New Roman"/>
          <w:sz w:val="24"/>
          <w:szCs w:val="24"/>
        </w:rPr>
        <w:t xml:space="preserve">Pro odpovědi na případné otázky týkající se uživatelského ovládání elektronického nástroje E-ZAK je možné využít uživatelskou podporu (tel: +420 538 702 719, email: </w:t>
      </w:r>
      <w:hyperlink r:id="rId17" w:history="1">
        <w:r w:rsidRPr="00EB4F02">
          <w:rPr>
            <w:rStyle w:val="Hypertextovodkaz"/>
            <w:rFonts w:ascii="Times New Roman" w:eastAsia="Times New Roman" w:hAnsi="Times New Roman"/>
            <w:sz w:val="24"/>
            <w:szCs w:val="24"/>
          </w:rPr>
          <w:t>podpora@ezak.cz</w:t>
        </w:r>
      </w:hyperlink>
      <w:r w:rsidRPr="00EB4F02">
        <w:rPr>
          <w:rFonts w:ascii="Times New Roman" w:eastAsia="Times New Roman" w:hAnsi="Times New Roman"/>
          <w:sz w:val="24"/>
          <w:szCs w:val="24"/>
        </w:rPr>
        <w:t xml:space="preserve">). </w:t>
      </w:r>
    </w:p>
    <w:p w14:paraId="03A50AD5" w14:textId="77777777" w:rsidR="00CA3BFC" w:rsidRPr="00EB4F02" w:rsidRDefault="00CA3BFC" w:rsidP="00CA3BFC">
      <w:pPr>
        <w:pStyle w:val="Bezmezer"/>
        <w:jc w:val="both"/>
        <w:rPr>
          <w:rFonts w:ascii="Times New Roman" w:hAnsi="Times New Roman"/>
          <w:sz w:val="24"/>
          <w:szCs w:val="24"/>
        </w:rPr>
      </w:pPr>
    </w:p>
    <w:p w14:paraId="6D9D3B62" w14:textId="17A38189" w:rsidR="00CA3BFC" w:rsidRPr="00EB4F02" w:rsidRDefault="00CA3BFC" w:rsidP="00CA3BFC">
      <w:pPr>
        <w:pStyle w:val="Bezmezer"/>
        <w:jc w:val="both"/>
        <w:rPr>
          <w:rFonts w:ascii="Times New Roman" w:hAnsi="Times New Roman"/>
          <w:b/>
          <w:bCs/>
          <w:sz w:val="24"/>
          <w:szCs w:val="24"/>
        </w:rPr>
      </w:pPr>
      <w:r w:rsidRPr="00EB4F02">
        <w:rPr>
          <w:rFonts w:ascii="Times New Roman" w:hAnsi="Times New Roman"/>
          <w:b/>
          <w:bCs/>
          <w:sz w:val="24"/>
          <w:szCs w:val="24"/>
        </w:rPr>
        <w:t>Lhůta pro podání nabídek</w:t>
      </w:r>
      <w:r w:rsidRPr="00EB4F02">
        <w:rPr>
          <w:rFonts w:ascii="Times New Roman" w:hAnsi="Times New Roman"/>
          <w:sz w:val="24"/>
          <w:szCs w:val="24"/>
        </w:rPr>
        <w:t xml:space="preserve"> začíná běžet </w:t>
      </w:r>
      <w:r>
        <w:rPr>
          <w:rFonts w:ascii="Times New Roman" w:hAnsi="Times New Roman"/>
          <w:sz w:val="24"/>
          <w:szCs w:val="24"/>
        </w:rPr>
        <w:t>zveřejněním těchto zadávacích podmínek</w:t>
      </w:r>
      <w:r w:rsidRPr="00EB4F02">
        <w:rPr>
          <w:rFonts w:ascii="Times New Roman" w:hAnsi="Times New Roman"/>
          <w:sz w:val="24"/>
          <w:szCs w:val="24"/>
        </w:rPr>
        <w:t xml:space="preserve"> a končí dne</w:t>
      </w:r>
      <w:r w:rsidRPr="00EB4F02">
        <w:rPr>
          <w:rFonts w:ascii="Times New Roman" w:hAnsi="Times New Roman"/>
          <w:b/>
          <w:bCs/>
          <w:sz w:val="24"/>
          <w:szCs w:val="24"/>
        </w:rPr>
        <w:t xml:space="preserve"> </w:t>
      </w:r>
      <w:r w:rsidR="004F1DCF" w:rsidRPr="004F1DCF">
        <w:rPr>
          <w:rFonts w:ascii="Times New Roman" w:hAnsi="Times New Roman"/>
          <w:b/>
          <w:bCs/>
          <w:sz w:val="24"/>
          <w:szCs w:val="24"/>
        </w:rPr>
        <w:t>12</w:t>
      </w:r>
      <w:r w:rsidRPr="004F1DCF">
        <w:rPr>
          <w:rFonts w:ascii="Times New Roman" w:hAnsi="Times New Roman"/>
          <w:b/>
          <w:bCs/>
          <w:sz w:val="24"/>
          <w:szCs w:val="24"/>
        </w:rPr>
        <w:t>. 10. 2020 ve 12.00 hod.</w:t>
      </w:r>
      <w:r w:rsidRPr="00EB4F02">
        <w:rPr>
          <w:rFonts w:ascii="Times New Roman" w:hAnsi="Times New Roman"/>
          <w:b/>
          <w:bCs/>
          <w:sz w:val="24"/>
          <w:szCs w:val="24"/>
        </w:rPr>
        <w:t xml:space="preserve">  </w:t>
      </w:r>
    </w:p>
    <w:bookmarkEnd w:id="4"/>
    <w:p w14:paraId="6AA0B5DA" w14:textId="77777777" w:rsidR="00566D18" w:rsidRPr="00A25FD4" w:rsidRDefault="00566D18" w:rsidP="00566D18">
      <w:pPr>
        <w:spacing w:before="120"/>
        <w:jc w:val="both"/>
        <w:rPr>
          <w:b/>
        </w:rPr>
      </w:pPr>
      <w:r>
        <w:rPr>
          <w:b/>
        </w:rPr>
        <w:lastRenderedPageBreak/>
        <w:t>6. 3</w:t>
      </w:r>
      <w:r w:rsidRPr="00A25FD4">
        <w:rPr>
          <w:b/>
        </w:rPr>
        <w:t xml:space="preserve">. </w:t>
      </w:r>
      <w:r>
        <w:rPr>
          <w:b/>
        </w:rPr>
        <w:t>Lhůta, po kterou jsou dodavatelé vázáni nabídkami</w:t>
      </w:r>
    </w:p>
    <w:p w14:paraId="326D6428" w14:textId="318CD786" w:rsidR="00566D18" w:rsidRPr="003211C6" w:rsidRDefault="00566D18" w:rsidP="00566D18">
      <w:pPr>
        <w:spacing w:before="120"/>
        <w:jc w:val="both"/>
      </w:pPr>
      <w:r w:rsidRPr="00B7027C">
        <w:t>Uchazeči jsou s</w:t>
      </w:r>
      <w:r w:rsidR="000B7EBE">
        <w:t xml:space="preserve">vými nabídkami vázáni po </w:t>
      </w:r>
      <w:r w:rsidR="000B7EBE" w:rsidRPr="003211C6">
        <w:t>dobu 9</w:t>
      </w:r>
      <w:r w:rsidRPr="003211C6">
        <w:t>0 dnů; tato lhůta začne běžet skončení lhůty pro podání nabídek.</w:t>
      </w:r>
    </w:p>
    <w:p w14:paraId="29A824F4" w14:textId="77777777" w:rsidR="00566D18" w:rsidRPr="00B7027C" w:rsidRDefault="00566D18" w:rsidP="00566D18">
      <w:pPr>
        <w:suppressAutoHyphens/>
        <w:autoSpaceDN w:val="0"/>
        <w:spacing w:before="120"/>
        <w:jc w:val="both"/>
        <w:textAlignment w:val="baseline"/>
      </w:pPr>
      <w:r w:rsidRPr="003211C6">
        <w:t>Dodavateli, jehož nabídka bude vybrána jako ekonomicky nejvýhodnější, se lhůta, po kterou je svou nabídkou vázán, prodlužuje do uzavření smlouvy, nejvíce však o 30 dnů.</w:t>
      </w:r>
    </w:p>
    <w:p w14:paraId="329E76FD" w14:textId="77777777" w:rsidR="002C4F9C" w:rsidRPr="00930C8F" w:rsidRDefault="002C4F9C" w:rsidP="002C4F9C">
      <w:pPr>
        <w:pStyle w:val="Bezmezer"/>
        <w:rPr>
          <w:rFonts w:ascii="Times New Roman" w:hAnsi="Times New Roman" w:cs="Times New Roman"/>
          <w:sz w:val="24"/>
          <w:szCs w:val="24"/>
        </w:rPr>
      </w:pPr>
    </w:p>
    <w:p w14:paraId="0447934B" w14:textId="77777777" w:rsidR="002C4F9C" w:rsidRPr="0066163E" w:rsidRDefault="002C4F9C" w:rsidP="000401B4">
      <w:pPr>
        <w:pStyle w:val="Odstavecseseznamem"/>
        <w:widowControl w:val="0"/>
        <w:numPr>
          <w:ilvl w:val="0"/>
          <w:numId w:val="4"/>
        </w:numPr>
        <w:pBdr>
          <w:top w:val="single" w:sz="4" w:space="1" w:color="auto"/>
          <w:left w:val="single" w:sz="4" w:space="4" w:color="auto"/>
          <w:bottom w:val="single" w:sz="4" w:space="1" w:color="auto"/>
          <w:right w:val="single" w:sz="4" w:space="4" w:color="auto"/>
        </w:pBdr>
        <w:tabs>
          <w:tab w:val="left" w:pos="432"/>
          <w:tab w:val="left" w:pos="1152"/>
          <w:tab w:val="left" w:pos="1584"/>
          <w:tab w:val="left" w:pos="1728"/>
          <w:tab w:val="left" w:pos="3312"/>
          <w:tab w:val="left" w:pos="4032"/>
        </w:tabs>
        <w:suppressAutoHyphens/>
        <w:autoSpaceDN w:val="0"/>
        <w:spacing w:before="120"/>
        <w:ind w:hanging="720"/>
        <w:contextualSpacing w:val="0"/>
        <w:jc w:val="both"/>
        <w:textAlignment w:val="baseline"/>
        <w:rPr>
          <w:b/>
        </w:rPr>
      </w:pPr>
      <w:r>
        <w:rPr>
          <w:b/>
        </w:rPr>
        <w:t>Obchodní podmínky</w:t>
      </w:r>
    </w:p>
    <w:p w14:paraId="48EA4D62" w14:textId="77777777" w:rsidR="00181AA2" w:rsidRPr="00AF2A26" w:rsidRDefault="00181AA2" w:rsidP="002C4F9C">
      <w:pPr>
        <w:autoSpaceDE w:val="0"/>
        <w:autoSpaceDN w:val="0"/>
        <w:adjustRightInd w:val="0"/>
      </w:pPr>
    </w:p>
    <w:p w14:paraId="09A13E3C" w14:textId="6BD808F4" w:rsidR="00A438E7" w:rsidRPr="005F5636" w:rsidRDefault="002D4299" w:rsidP="00191196">
      <w:pPr>
        <w:jc w:val="both"/>
      </w:pPr>
      <w:r>
        <w:t>Zadavatel</w:t>
      </w:r>
      <w:r w:rsidR="00512BE9">
        <w:t>é</w:t>
      </w:r>
      <w:r w:rsidR="00181AA2" w:rsidRPr="00AF2A26">
        <w:t xml:space="preserve"> stanovil</w:t>
      </w:r>
      <w:r w:rsidR="00512BE9">
        <w:t>i</w:t>
      </w:r>
      <w:r w:rsidR="00181AA2" w:rsidRPr="00AF2A26">
        <w:t xml:space="preserve"> obchodní podmínky pro realizaci veřejné zakázky formou vzoru smlouvy, který tvoří přílohu č. 2 těchto zadávacích podmínek. Obchodní podmínky nemůže dodavatel měnit; doplnit je může pouze, pokud to z obchodních podmínek nebo jiné části zadávací dokumentace vyplývá. Dodavatel</w:t>
      </w:r>
      <w:r>
        <w:t xml:space="preserve">, jehož nabídka bude posouzena jako ekonomicky nejvýhodnější dle bodu </w:t>
      </w:r>
      <w:r w:rsidR="001543D2">
        <w:t>8</w:t>
      </w:r>
      <w:r w:rsidR="00181AA2" w:rsidRPr="00AF2A26">
        <w:t xml:space="preserve"> </w:t>
      </w:r>
      <w:r>
        <w:t xml:space="preserve">těchto zadávacích podmínek, bude neprodleně po svém výběru vyzván </w:t>
      </w:r>
      <w:r w:rsidR="00512BE9">
        <w:t xml:space="preserve">zadavatelem č. 1 </w:t>
      </w:r>
      <w:r>
        <w:t>k </w:t>
      </w:r>
      <w:r w:rsidRPr="009962EC">
        <w:t xml:space="preserve">předložení </w:t>
      </w:r>
      <w:r w:rsidR="00CA3BFC">
        <w:rPr>
          <w:b/>
        </w:rPr>
        <w:t>pěti</w:t>
      </w:r>
      <w:r w:rsidR="003A1A0C" w:rsidRPr="00191196">
        <w:t xml:space="preserve"> </w:t>
      </w:r>
      <w:r w:rsidRPr="00191196">
        <w:rPr>
          <w:b/>
        </w:rPr>
        <w:t>vyhotovení</w:t>
      </w:r>
      <w:r w:rsidR="009962EC" w:rsidRPr="00191196">
        <w:rPr>
          <w:b/>
        </w:rPr>
        <w:t xml:space="preserve"> smlouvy</w:t>
      </w:r>
      <w:r w:rsidRPr="009962EC">
        <w:t xml:space="preserve"> doplněn</w:t>
      </w:r>
      <w:r w:rsidR="009962EC">
        <w:t>ých</w:t>
      </w:r>
      <w:r w:rsidRPr="00A25FD4">
        <w:t xml:space="preserve"> o příslušné k tomu určené části</w:t>
      </w:r>
      <w:r>
        <w:t xml:space="preserve"> a následně podepsa</w:t>
      </w:r>
      <w:r w:rsidR="009962EC">
        <w:t>ných</w:t>
      </w:r>
      <w:r>
        <w:t xml:space="preserve"> k tomu oprávněnou osobou.</w:t>
      </w:r>
    </w:p>
    <w:p w14:paraId="09DD42D1" w14:textId="77777777" w:rsidR="002C4F9C" w:rsidRDefault="002C4F9C" w:rsidP="00191196">
      <w:pPr>
        <w:spacing w:after="120"/>
        <w:rPr>
          <w:highlight w:val="yellow"/>
        </w:rPr>
      </w:pPr>
    </w:p>
    <w:p w14:paraId="0858F630" w14:textId="77777777" w:rsidR="002C4F9C" w:rsidRPr="0066163E" w:rsidRDefault="002C4F9C" w:rsidP="000401B4">
      <w:pPr>
        <w:pStyle w:val="Odstavecseseznamem"/>
        <w:widowControl w:val="0"/>
        <w:numPr>
          <w:ilvl w:val="0"/>
          <w:numId w:val="4"/>
        </w:numPr>
        <w:pBdr>
          <w:top w:val="single" w:sz="4" w:space="1" w:color="auto"/>
          <w:left w:val="single" w:sz="4" w:space="4" w:color="auto"/>
          <w:bottom w:val="single" w:sz="4" w:space="1" w:color="auto"/>
          <w:right w:val="single" w:sz="4" w:space="4" w:color="auto"/>
        </w:pBdr>
        <w:tabs>
          <w:tab w:val="left" w:pos="432"/>
          <w:tab w:val="left" w:pos="1152"/>
          <w:tab w:val="left" w:pos="1584"/>
          <w:tab w:val="left" w:pos="1728"/>
          <w:tab w:val="left" w:pos="3312"/>
          <w:tab w:val="left" w:pos="4032"/>
        </w:tabs>
        <w:suppressAutoHyphens/>
        <w:autoSpaceDN w:val="0"/>
        <w:spacing w:before="120"/>
        <w:ind w:hanging="720"/>
        <w:contextualSpacing w:val="0"/>
        <w:jc w:val="both"/>
        <w:textAlignment w:val="baseline"/>
        <w:rPr>
          <w:b/>
        </w:rPr>
      </w:pPr>
      <w:r w:rsidRPr="0066163E">
        <w:rPr>
          <w:b/>
        </w:rPr>
        <w:t>Způsob hodnocení nabídek</w:t>
      </w:r>
    </w:p>
    <w:p w14:paraId="57E953FF" w14:textId="77777777" w:rsidR="00674F6F" w:rsidRDefault="00674F6F" w:rsidP="00191196">
      <w:pPr>
        <w:jc w:val="both"/>
        <w:rPr>
          <w:b/>
          <w:bCs/>
        </w:rPr>
      </w:pPr>
    </w:p>
    <w:p w14:paraId="0DD57A73" w14:textId="0AB34D1D" w:rsidR="00816A96" w:rsidRDefault="1F96CE9F" w:rsidP="00857A76">
      <w:pPr>
        <w:spacing w:line="259" w:lineRule="auto"/>
        <w:jc w:val="both"/>
      </w:pPr>
      <w:r>
        <w:t>Uchazeč musí splnit</w:t>
      </w:r>
      <w:r w:rsidR="362CC7BD">
        <w:t xml:space="preserve"> kvalifikační požadavky dle </w:t>
      </w:r>
      <w:r w:rsidR="734B1CFF">
        <w:t xml:space="preserve">bodu 4 této zadávací dokumentace. Uchazeči, kteří tyto požadavky, případně další požadavky dle této zadávací dokumentace, nesplní, budou </w:t>
      </w:r>
      <w:r w:rsidR="00EC40D4">
        <w:t>vyloučení a jejich nabídky nebudou hodnoceny</w:t>
      </w:r>
      <w:r w:rsidR="734B1CFF">
        <w:t xml:space="preserve">. </w:t>
      </w:r>
    </w:p>
    <w:p w14:paraId="25011CAD" w14:textId="414CA48E" w:rsidR="115FA77E" w:rsidRDefault="115FA77E" w:rsidP="115FA77E">
      <w:pPr>
        <w:jc w:val="both"/>
      </w:pPr>
    </w:p>
    <w:p w14:paraId="544CD35D" w14:textId="3282B928" w:rsidR="004B2552" w:rsidRDefault="001246D4" w:rsidP="007E3E40">
      <w:pPr>
        <w:tabs>
          <w:tab w:val="left" w:pos="360"/>
        </w:tabs>
        <w:jc w:val="both"/>
        <w:rPr>
          <w:bCs/>
        </w:rPr>
      </w:pPr>
      <w:r w:rsidRPr="00D52ED4">
        <w:rPr>
          <w:bCs/>
          <w:color w:val="000000"/>
        </w:rPr>
        <w:t xml:space="preserve">Uchazeč </w:t>
      </w:r>
      <w:r>
        <w:rPr>
          <w:bCs/>
          <w:color w:val="000000"/>
        </w:rPr>
        <w:t xml:space="preserve">může v rámci hodnocení nabídek získat </w:t>
      </w:r>
      <w:r w:rsidRPr="0068019A">
        <w:rPr>
          <w:b/>
          <w:bCs/>
          <w:color w:val="000000"/>
        </w:rPr>
        <w:t>maximálně 100 bodů</w:t>
      </w:r>
      <w:r>
        <w:rPr>
          <w:bCs/>
          <w:color w:val="000000"/>
        </w:rPr>
        <w:t xml:space="preserve">. </w:t>
      </w:r>
      <w:r w:rsidR="00816A96">
        <w:t xml:space="preserve">Nabídky budou hodnoceny hodnotící komisí dle ekonomické výhodnosti </w:t>
      </w:r>
      <w:r w:rsidR="00816A96" w:rsidRPr="001246D4">
        <w:rPr>
          <w:bCs/>
        </w:rPr>
        <w:t xml:space="preserve">na základě </w:t>
      </w:r>
      <w:r w:rsidR="57B18396" w:rsidRPr="00805731">
        <w:rPr>
          <w:b/>
        </w:rPr>
        <w:t xml:space="preserve">kritéria </w:t>
      </w:r>
      <w:r w:rsidRPr="001246D4">
        <w:rPr>
          <w:b/>
          <w:bCs/>
        </w:rPr>
        <w:t xml:space="preserve">nabídkové </w:t>
      </w:r>
      <w:r w:rsidR="00AF01A6" w:rsidRPr="001246D4">
        <w:rPr>
          <w:b/>
          <w:bCs/>
        </w:rPr>
        <w:t>ceny díla</w:t>
      </w:r>
      <w:r w:rsidR="00805731">
        <w:rPr>
          <w:bCs/>
        </w:rPr>
        <w:t xml:space="preserve"> (písm. a) a</w:t>
      </w:r>
      <w:r w:rsidR="00AF01A6" w:rsidRPr="001246D4">
        <w:rPr>
          <w:bCs/>
        </w:rPr>
        <w:t xml:space="preserve"> </w:t>
      </w:r>
      <w:r w:rsidR="00816A96" w:rsidRPr="001246D4">
        <w:rPr>
          <w:b/>
          <w:bCs/>
        </w:rPr>
        <w:t>k</w:t>
      </w:r>
      <w:r w:rsidR="00805731">
        <w:rPr>
          <w:b/>
          <w:bCs/>
        </w:rPr>
        <w:t>ritéria k</w:t>
      </w:r>
      <w:r w:rsidR="00816A96" w:rsidRPr="001246D4">
        <w:rPr>
          <w:b/>
          <w:bCs/>
        </w:rPr>
        <w:t>vality nabízeného řešení</w:t>
      </w:r>
      <w:r w:rsidR="0068019A">
        <w:rPr>
          <w:b/>
          <w:bCs/>
        </w:rPr>
        <w:t xml:space="preserve"> </w:t>
      </w:r>
      <w:r w:rsidR="00805731" w:rsidRPr="00805731">
        <w:t xml:space="preserve">tvořeného ze </w:t>
      </w:r>
      <w:proofErr w:type="spellStart"/>
      <w:r w:rsidR="00805731" w:rsidRPr="00805731">
        <w:t>subkritérii</w:t>
      </w:r>
      <w:proofErr w:type="spellEnd"/>
      <w:r w:rsidR="00805731">
        <w:rPr>
          <w:b/>
          <w:bCs/>
        </w:rPr>
        <w:t xml:space="preserve"> metodiky navrhovaného řešení </w:t>
      </w:r>
      <w:r w:rsidR="00805731" w:rsidRPr="00805731">
        <w:t>(písm. b)</w:t>
      </w:r>
      <w:r w:rsidR="00805731">
        <w:rPr>
          <w:b/>
          <w:bCs/>
        </w:rPr>
        <w:t xml:space="preserve"> </w:t>
      </w:r>
      <w:r w:rsidR="0068019A">
        <w:rPr>
          <w:b/>
          <w:bCs/>
        </w:rPr>
        <w:t>a dodání dat za buňky sítě</w:t>
      </w:r>
      <w:r w:rsidR="00805731">
        <w:rPr>
          <w:b/>
          <w:bCs/>
        </w:rPr>
        <w:t xml:space="preserve">, </w:t>
      </w:r>
      <w:r w:rsidR="0068019A">
        <w:rPr>
          <w:b/>
          <w:bCs/>
        </w:rPr>
        <w:t>Cell-ID</w:t>
      </w:r>
      <w:r w:rsidR="00805731">
        <w:rPr>
          <w:b/>
          <w:bCs/>
        </w:rPr>
        <w:t xml:space="preserve"> </w:t>
      </w:r>
      <w:r w:rsidR="00805731" w:rsidRPr="00805731">
        <w:t>(písm. c</w:t>
      </w:r>
      <w:r w:rsidR="0068019A" w:rsidRPr="00805731">
        <w:t>)</w:t>
      </w:r>
      <w:r w:rsidR="00816A96" w:rsidRPr="00805731">
        <w:t>.</w:t>
      </w:r>
      <w:r w:rsidR="00816A96">
        <w:t xml:space="preserve"> </w:t>
      </w:r>
    </w:p>
    <w:p w14:paraId="1504918D" w14:textId="5F876756" w:rsidR="001246D4" w:rsidRPr="001246D4" w:rsidRDefault="001246D4" w:rsidP="000401B4">
      <w:pPr>
        <w:pStyle w:val="Odstavecseseznamem"/>
        <w:numPr>
          <w:ilvl w:val="0"/>
          <w:numId w:val="7"/>
        </w:numPr>
        <w:spacing w:before="120"/>
        <w:jc w:val="both"/>
        <w:rPr>
          <w:b/>
        </w:rPr>
      </w:pPr>
      <w:r w:rsidRPr="001246D4">
        <w:rPr>
          <w:b/>
        </w:rPr>
        <w:t>Nabídková cena díla</w:t>
      </w:r>
      <w:r w:rsidR="00805731">
        <w:rPr>
          <w:b/>
        </w:rPr>
        <w:t xml:space="preserve"> </w:t>
      </w:r>
    </w:p>
    <w:p w14:paraId="34C2CE0F" w14:textId="2E4F5AF4" w:rsidR="001246D4" w:rsidRDefault="001246D4" w:rsidP="001246D4">
      <w:pPr>
        <w:pStyle w:val="Odstavecseseznamem"/>
        <w:jc w:val="both"/>
        <w:rPr>
          <w:bCs/>
          <w:color w:val="000000"/>
        </w:rPr>
      </w:pPr>
      <w:r w:rsidRPr="001246D4">
        <w:rPr>
          <w:bCs/>
          <w:color w:val="000000"/>
        </w:rPr>
        <w:t>Nabídková cena bude stanovena v Kč bez DPH.</w:t>
      </w:r>
      <w:r>
        <w:rPr>
          <w:bCs/>
          <w:color w:val="000000"/>
        </w:rPr>
        <w:t xml:space="preserve"> Nabídková cena díla zahrnuje veškeré náklady.</w:t>
      </w:r>
    </w:p>
    <w:p w14:paraId="1B515E37" w14:textId="77777777" w:rsidR="001246D4" w:rsidRDefault="001246D4" w:rsidP="001246D4">
      <w:pPr>
        <w:pStyle w:val="Odstavecseseznamem"/>
        <w:jc w:val="both"/>
        <w:rPr>
          <w:bCs/>
          <w:color w:val="000000"/>
        </w:rPr>
      </w:pPr>
    </w:p>
    <w:p w14:paraId="40D9A4CC" w14:textId="159C9EFF" w:rsidR="0068019A" w:rsidRDefault="0068019A" w:rsidP="001246D4">
      <w:pPr>
        <w:pStyle w:val="Odstavecseseznamem"/>
        <w:jc w:val="both"/>
        <w:rPr>
          <w:bCs/>
          <w:color w:val="000000"/>
        </w:rPr>
      </w:pPr>
      <w:r>
        <w:rPr>
          <w:bCs/>
          <w:color w:val="000000"/>
        </w:rPr>
        <w:t xml:space="preserve">Uchazeč může </w:t>
      </w:r>
      <w:r w:rsidRPr="0068019A">
        <w:rPr>
          <w:b/>
          <w:bCs/>
          <w:color w:val="000000"/>
        </w:rPr>
        <w:t xml:space="preserve">v rámci kritéria </w:t>
      </w:r>
      <w:r>
        <w:rPr>
          <w:b/>
          <w:bCs/>
          <w:color w:val="000000"/>
        </w:rPr>
        <w:t xml:space="preserve">nabídkové ceny získat maximálně </w:t>
      </w:r>
      <w:r w:rsidR="005B0B59">
        <w:rPr>
          <w:b/>
          <w:bCs/>
          <w:color w:val="000000"/>
        </w:rPr>
        <w:t>3</w:t>
      </w:r>
      <w:r w:rsidRPr="0068019A">
        <w:rPr>
          <w:b/>
          <w:bCs/>
          <w:color w:val="000000"/>
        </w:rPr>
        <w:t>0 bodů</w:t>
      </w:r>
      <w:r>
        <w:rPr>
          <w:bCs/>
          <w:color w:val="000000"/>
        </w:rPr>
        <w:t>.</w:t>
      </w:r>
    </w:p>
    <w:p w14:paraId="7893ED70" w14:textId="77777777" w:rsidR="0068019A" w:rsidRDefault="0068019A" w:rsidP="001246D4">
      <w:pPr>
        <w:pStyle w:val="Odstavecseseznamem"/>
        <w:jc w:val="both"/>
        <w:rPr>
          <w:bCs/>
          <w:color w:val="000000"/>
        </w:rPr>
      </w:pPr>
    </w:p>
    <w:p w14:paraId="341049EA" w14:textId="0453F93A" w:rsidR="001246D4" w:rsidRPr="001246D4" w:rsidRDefault="001246D4" w:rsidP="001246D4">
      <w:pPr>
        <w:pStyle w:val="Odstavecseseznamem"/>
        <w:jc w:val="both"/>
        <w:rPr>
          <w:bCs/>
          <w:color w:val="000000"/>
        </w:rPr>
      </w:pPr>
      <w:r>
        <w:rPr>
          <w:bCs/>
          <w:color w:val="000000"/>
        </w:rPr>
        <w:t>Výpočet získaných bodů:</w:t>
      </w:r>
      <w:r w:rsidRPr="001246D4">
        <w:rPr>
          <w:bCs/>
          <w:color w:val="000000"/>
        </w:rPr>
        <w:t xml:space="preserve"> </w:t>
      </w:r>
    </w:p>
    <w:p w14:paraId="770D54CA" w14:textId="77777777" w:rsidR="001246D4" w:rsidRPr="005F5636" w:rsidRDefault="001246D4" w:rsidP="001246D4">
      <w:pPr>
        <w:pStyle w:val="Odstavecseseznamem"/>
        <w:jc w:val="both"/>
        <w:rPr>
          <w:bCs/>
          <w:i/>
          <w:color w:val="000000"/>
          <w:sz w:val="12"/>
          <w:szCs w:val="12"/>
        </w:rPr>
      </w:pPr>
    </w:p>
    <w:p w14:paraId="6FF05519" w14:textId="430491DE" w:rsidR="001246D4" w:rsidRPr="001246D4" w:rsidRDefault="001246D4" w:rsidP="001246D4">
      <w:pPr>
        <w:pStyle w:val="Odstavecseseznamem"/>
        <w:jc w:val="both"/>
        <w:rPr>
          <w:bCs/>
          <w:color w:val="000000"/>
        </w:rPr>
      </w:pPr>
      <m:oMathPara>
        <m:oMath>
          <m:r>
            <w:rPr>
              <w:rFonts w:ascii="Cambria Math" w:hAnsi="Cambria Math"/>
              <w:color w:val="000000"/>
            </w:rPr>
            <m:t xml:space="preserve">Počet bodů </m:t>
          </m:r>
          <m:r>
            <m:rPr>
              <m:sty m:val="p"/>
            </m:rPr>
            <w:rPr>
              <w:rFonts w:ascii="Cambria Math" w:hAnsi="Cambria Math"/>
              <w:color w:val="000000"/>
            </w:rPr>
            <m:t xml:space="preserve">= </m:t>
          </m:r>
          <m:f>
            <m:fPr>
              <m:ctrlPr>
                <w:rPr>
                  <w:rFonts w:ascii="Cambria Math" w:hAnsi="Cambria Math"/>
                  <w:bCs/>
                  <w:color w:val="000000"/>
                </w:rPr>
              </m:ctrlPr>
            </m:fPr>
            <m:num>
              <m:r>
                <w:rPr>
                  <w:rFonts w:ascii="Cambria Math" w:hAnsi="Cambria Math"/>
                  <w:color w:val="000000"/>
                </w:rPr>
                <m:t>nabídka s nejnižší Nabídkovou cenou</m:t>
              </m:r>
            </m:num>
            <m:den>
              <m:r>
                <m:rPr>
                  <m:sty m:val="p"/>
                </m:rPr>
                <w:rPr>
                  <w:rFonts w:ascii="Cambria Math" w:hAnsi="Cambria Math"/>
                  <w:color w:val="000000"/>
                </w:rPr>
                <m:t>hodnocená nabídka</m:t>
              </m:r>
            </m:den>
          </m:f>
          <m:r>
            <w:rPr>
              <w:rFonts w:ascii="Cambria Math" w:hAnsi="Cambria Math"/>
              <w:color w:val="000000"/>
            </w:rPr>
            <m:t xml:space="preserve"> x 30</m:t>
          </m:r>
        </m:oMath>
      </m:oMathPara>
    </w:p>
    <w:p w14:paraId="0ED2648C" w14:textId="59DC6C54" w:rsidR="001246D4" w:rsidRDefault="001246D4" w:rsidP="005F5636">
      <w:pPr>
        <w:spacing w:before="120"/>
        <w:jc w:val="both"/>
      </w:pPr>
    </w:p>
    <w:p w14:paraId="7834BDBC" w14:textId="77777777" w:rsidR="00512BE9" w:rsidRDefault="00512BE9" w:rsidP="005F5636">
      <w:pPr>
        <w:spacing w:before="120"/>
        <w:jc w:val="both"/>
      </w:pPr>
    </w:p>
    <w:p w14:paraId="7D1BAABB" w14:textId="351B5267" w:rsidR="001246D4" w:rsidRPr="0062450E" w:rsidRDefault="00805731" w:rsidP="000401B4">
      <w:pPr>
        <w:pStyle w:val="Odstavecseseznamem"/>
        <w:numPr>
          <w:ilvl w:val="0"/>
          <w:numId w:val="7"/>
        </w:numPr>
        <w:spacing w:before="120"/>
        <w:jc w:val="both"/>
        <w:rPr>
          <w:b/>
        </w:rPr>
      </w:pPr>
      <w:r>
        <w:rPr>
          <w:b/>
        </w:rPr>
        <w:t>Metodika navrhovaného řešení</w:t>
      </w:r>
    </w:p>
    <w:p w14:paraId="5BCE2604" w14:textId="3D7F76C9" w:rsidR="001246D4" w:rsidRDefault="001246D4" w:rsidP="001246D4">
      <w:pPr>
        <w:spacing w:before="120"/>
        <w:ind w:left="708"/>
        <w:jc w:val="both"/>
      </w:pPr>
      <w:r>
        <w:t xml:space="preserve">Kvalita nabízeného řešení bude </w:t>
      </w:r>
      <w:r w:rsidR="00805731">
        <w:t xml:space="preserve">předně </w:t>
      </w:r>
      <w:r>
        <w:t xml:space="preserve">hodnocena prostřednictvím </w:t>
      </w:r>
      <w:r w:rsidR="0068019A">
        <w:t>metodiky navrhovaného řešení.</w:t>
      </w:r>
    </w:p>
    <w:p w14:paraId="0021240B" w14:textId="1FCC8ED9" w:rsidR="001246D4" w:rsidRPr="002F781D" w:rsidRDefault="001246D4" w:rsidP="0068019A">
      <w:pPr>
        <w:spacing w:before="120"/>
        <w:ind w:left="708"/>
        <w:jc w:val="both"/>
      </w:pPr>
      <w:r w:rsidRPr="002F781D">
        <w:t>Uchazeč popíše metodiku zpracování dat v takovém rozsahu, aby bylo zřejmé, jak byla poptávaná agregovaná data vytvořena z primárních zbytkových signalizačních dat mobilního operátora. Popis metodiky musí co nejvíce reflektovat záměr a zadání zadavatele.</w:t>
      </w:r>
      <w:r w:rsidR="00FA1267" w:rsidRPr="002F781D">
        <w:t xml:space="preserve"> Uchazeč </w:t>
      </w:r>
      <w:r w:rsidR="001F1C3E" w:rsidRPr="002F781D">
        <w:t>se zaměří především na</w:t>
      </w:r>
      <w:r w:rsidR="00461959" w:rsidRPr="002F781D">
        <w:t xml:space="preserve"> (v podrobnostech viz příloha č. </w:t>
      </w:r>
      <w:r w:rsidR="00950297" w:rsidRPr="002F781D">
        <w:t>1 v rámci přílohy č. 2</w:t>
      </w:r>
      <w:r w:rsidR="00461959" w:rsidRPr="002F781D">
        <w:t xml:space="preserve"> těchto zadávacích podmínek)</w:t>
      </w:r>
      <w:r w:rsidR="00FA1267" w:rsidRPr="002F781D">
        <w:t>:</w:t>
      </w:r>
    </w:p>
    <w:p w14:paraId="7030736E" w14:textId="77777777" w:rsidR="00A62EF7" w:rsidRPr="002F781D" w:rsidRDefault="00A62EF7" w:rsidP="00A62EF7">
      <w:pPr>
        <w:pStyle w:val="Odstavecseseznamem"/>
        <w:jc w:val="both"/>
        <w:rPr>
          <w:bCs/>
          <w:color w:val="000000"/>
          <w:sz w:val="12"/>
          <w:szCs w:val="12"/>
        </w:rPr>
      </w:pPr>
    </w:p>
    <w:p w14:paraId="45226E52" w14:textId="17B4B075" w:rsidR="001F1C3E" w:rsidRPr="002F781D" w:rsidRDefault="001F1C3E" w:rsidP="001F1C3E">
      <w:pPr>
        <w:pStyle w:val="Odstavecseseznamem"/>
        <w:numPr>
          <w:ilvl w:val="3"/>
          <w:numId w:val="2"/>
        </w:numPr>
        <w:jc w:val="both"/>
        <w:rPr>
          <w:bCs/>
          <w:color w:val="000000"/>
        </w:rPr>
      </w:pPr>
      <w:r w:rsidRPr="002F781D">
        <w:rPr>
          <w:bCs/>
          <w:color w:val="000000"/>
        </w:rPr>
        <w:t>unikátnost jedince v čase a prostoru</w:t>
      </w:r>
    </w:p>
    <w:p w14:paraId="222CDAB8" w14:textId="77777777" w:rsidR="001F1C3E" w:rsidRPr="002F781D" w:rsidRDefault="001F1C3E" w:rsidP="001F1C3E">
      <w:pPr>
        <w:pStyle w:val="Odstavecseseznamem"/>
        <w:numPr>
          <w:ilvl w:val="3"/>
          <w:numId w:val="2"/>
        </w:numPr>
        <w:jc w:val="both"/>
        <w:rPr>
          <w:bCs/>
          <w:color w:val="000000"/>
        </w:rPr>
      </w:pPr>
      <w:r w:rsidRPr="002F781D">
        <w:rPr>
          <w:bCs/>
          <w:color w:val="000000"/>
        </w:rPr>
        <w:t>technické řešení přeskakování přihlašování uživatelů do různých druhů sítí; možné důsledky tohoto aspektu pro vyhodnocování zbytkových signalizačních dat; jak je minimalizováno riziko chybovosti vznikající v důsledku různých druhů sítí</w:t>
      </w:r>
    </w:p>
    <w:p w14:paraId="642E7FC1" w14:textId="77777777" w:rsidR="001F1C3E" w:rsidRPr="002F781D" w:rsidRDefault="001F1C3E" w:rsidP="001F1C3E">
      <w:pPr>
        <w:pStyle w:val="Odstavecseseznamem"/>
        <w:numPr>
          <w:ilvl w:val="3"/>
          <w:numId w:val="2"/>
        </w:numPr>
        <w:jc w:val="both"/>
        <w:rPr>
          <w:bCs/>
          <w:color w:val="000000"/>
        </w:rPr>
      </w:pPr>
      <w:r w:rsidRPr="002F781D">
        <w:rPr>
          <w:bCs/>
          <w:color w:val="000000"/>
        </w:rPr>
        <w:t>definice a délka pobytu s ohledem na technické limity sítě</w:t>
      </w:r>
    </w:p>
    <w:p w14:paraId="38BD34B6" w14:textId="19A88673" w:rsidR="001F1C3E" w:rsidRPr="002F781D" w:rsidRDefault="001F1C3E" w:rsidP="001F1C3E">
      <w:pPr>
        <w:pStyle w:val="Odstavecseseznamem"/>
        <w:numPr>
          <w:ilvl w:val="3"/>
          <w:numId w:val="2"/>
        </w:numPr>
        <w:jc w:val="both"/>
        <w:rPr>
          <w:bCs/>
          <w:color w:val="000000"/>
        </w:rPr>
      </w:pPr>
      <w:r w:rsidRPr="002F781D">
        <w:rPr>
          <w:bCs/>
          <w:color w:val="000000"/>
        </w:rPr>
        <w:t>identifikace typů území s ohledem na základní účel cest; možná úskalí, která jsou spojena s definováním typů území s ohledem na technické limity sítě</w:t>
      </w:r>
    </w:p>
    <w:p w14:paraId="6BDD76CF" w14:textId="52D15B09" w:rsidR="001F1C3E" w:rsidRPr="002F781D" w:rsidRDefault="00461959" w:rsidP="001F1C3E">
      <w:pPr>
        <w:pStyle w:val="Odstavecseseznamem"/>
        <w:numPr>
          <w:ilvl w:val="3"/>
          <w:numId w:val="2"/>
        </w:numPr>
        <w:jc w:val="both"/>
        <w:rPr>
          <w:bCs/>
          <w:color w:val="000000"/>
        </w:rPr>
      </w:pPr>
      <w:r w:rsidRPr="002F781D">
        <w:rPr>
          <w:bCs/>
          <w:color w:val="000000"/>
        </w:rPr>
        <w:t>návaznost typů</w:t>
      </w:r>
      <w:r w:rsidR="001F1C3E" w:rsidRPr="002F781D">
        <w:rPr>
          <w:bCs/>
          <w:color w:val="000000"/>
        </w:rPr>
        <w:t xml:space="preserve"> cest na typy území</w:t>
      </w:r>
      <w:r w:rsidRPr="002F781D">
        <w:rPr>
          <w:bCs/>
          <w:color w:val="000000"/>
        </w:rPr>
        <w:t xml:space="preserve">; </w:t>
      </w:r>
      <w:r w:rsidR="001F1C3E" w:rsidRPr="002F781D">
        <w:rPr>
          <w:bCs/>
          <w:color w:val="000000"/>
        </w:rPr>
        <w:t xml:space="preserve">možná úskalí </w:t>
      </w:r>
      <w:r w:rsidRPr="002F781D">
        <w:rPr>
          <w:bCs/>
          <w:color w:val="000000"/>
        </w:rPr>
        <w:t xml:space="preserve">spojená se </w:t>
      </w:r>
      <w:r w:rsidR="001F1C3E" w:rsidRPr="002F781D">
        <w:rPr>
          <w:bCs/>
          <w:color w:val="000000"/>
        </w:rPr>
        <w:t>zachycení</w:t>
      </w:r>
      <w:r w:rsidRPr="002F781D">
        <w:rPr>
          <w:bCs/>
          <w:color w:val="000000"/>
        </w:rPr>
        <w:t>m</w:t>
      </w:r>
      <w:r w:rsidR="001F1C3E" w:rsidRPr="002F781D">
        <w:rPr>
          <w:bCs/>
          <w:color w:val="000000"/>
        </w:rPr>
        <w:t xml:space="preserve"> typů cest.</w:t>
      </w:r>
    </w:p>
    <w:p w14:paraId="1D2C182F" w14:textId="308C3946" w:rsidR="001F1C3E" w:rsidRPr="002F781D" w:rsidRDefault="001F1C3E" w:rsidP="00461959">
      <w:pPr>
        <w:pStyle w:val="Odstavecseseznamem"/>
        <w:numPr>
          <w:ilvl w:val="3"/>
          <w:numId w:val="2"/>
        </w:numPr>
        <w:jc w:val="both"/>
        <w:rPr>
          <w:bCs/>
          <w:color w:val="000000"/>
        </w:rPr>
      </w:pPr>
      <w:r w:rsidRPr="002F781D">
        <w:rPr>
          <w:bCs/>
          <w:color w:val="000000"/>
        </w:rPr>
        <w:t>přepoč</w:t>
      </w:r>
      <w:r w:rsidR="00461959" w:rsidRPr="002F781D">
        <w:rPr>
          <w:bCs/>
          <w:color w:val="000000"/>
        </w:rPr>
        <w:t>e</w:t>
      </w:r>
      <w:r w:rsidRPr="002F781D">
        <w:rPr>
          <w:bCs/>
          <w:color w:val="000000"/>
        </w:rPr>
        <w:t>t prostorové identifikace</w:t>
      </w:r>
      <w:r w:rsidR="00461959" w:rsidRPr="002F781D">
        <w:rPr>
          <w:bCs/>
          <w:color w:val="000000"/>
        </w:rPr>
        <w:t xml:space="preserve">; problematika přepočtu nerezidentů; </w:t>
      </w:r>
      <w:r w:rsidRPr="002F781D">
        <w:rPr>
          <w:bCs/>
          <w:color w:val="000000"/>
        </w:rPr>
        <w:t>jaká další data kromě údaje o počtu rezidentů v administrativních jednotkách uchazeč může použít pro přepočet cest (nehledě na jejich dostupnost – zadavatel disponuje širokou škálou dat, které může sdílet) a jakým způsobem by taková data využíval</w:t>
      </w:r>
    </w:p>
    <w:p w14:paraId="421D49FA" w14:textId="2A614F78" w:rsidR="001F1C3E" w:rsidRPr="002F781D" w:rsidRDefault="001F1C3E" w:rsidP="001F1C3E">
      <w:pPr>
        <w:pStyle w:val="Odstavecseseznamem"/>
        <w:numPr>
          <w:ilvl w:val="3"/>
          <w:numId w:val="2"/>
        </w:numPr>
        <w:jc w:val="both"/>
        <w:rPr>
          <w:bCs/>
          <w:color w:val="000000"/>
        </w:rPr>
      </w:pPr>
      <w:r w:rsidRPr="002F781D">
        <w:rPr>
          <w:bCs/>
          <w:color w:val="000000"/>
        </w:rPr>
        <w:t xml:space="preserve">způsob, jakým </w:t>
      </w:r>
      <w:r w:rsidR="00461959" w:rsidRPr="002F781D">
        <w:rPr>
          <w:bCs/>
          <w:color w:val="000000"/>
        </w:rPr>
        <w:t xml:space="preserve">je </w:t>
      </w:r>
      <w:r w:rsidRPr="002F781D">
        <w:rPr>
          <w:bCs/>
          <w:color w:val="000000"/>
        </w:rPr>
        <w:t>odhadnu</w:t>
      </w:r>
      <w:r w:rsidR="00461959" w:rsidRPr="002F781D">
        <w:rPr>
          <w:bCs/>
          <w:color w:val="000000"/>
        </w:rPr>
        <w:t>t</w:t>
      </w:r>
      <w:r w:rsidRPr="002F781D">
        <w:rPr>
          <w:bCs/>
          <w:color w:val="000000"/>
        </w:rPr>
        <w:t xml:space="preserve"> podíl uživatelů v populaci a jak</w:t>
      </w:r>
      <w:r w:rsidR="00461959" w:rsidRPr="002F781D">
        <w:rPr>
          <w:bCs/>
          <w:color w:val="000000"/>
        </w:rPr>
        <w:t xml:space="preserve"> je</w:t>
      </w:r>
      <w:r w:rsidRPr="002F781D">
        <w:rPr>
          <w:bCs/>
          <w:color w:val="000000"/>
        </w:rPr>
        <w:t xml:space="preserve"> v takovém případě pracov</w:t>
      </w:r>
      <w:r w:rsidR="00461959" w:rsidRPr="002F781D">
        <w:rPr>
          <w:bCs/>
          <w:color w:val="000000"/>
        </w:rPr>
        <w:t>áno</w:t>
      </w:r>
      <w:r w:rsidRPr="002F781D">
        <w:rPr>
          <w:bCs/>
          <w:color w:val="000000"/>
        </w:rPr>
        <w:t xml:space="preserve"> s jednotlivými skupinami uživatelů (obyvatelstvo bydlící, </w:t>
      </w:r>
      <w:proofErr w:type="gramStart"/>
      <w:r w:rsidRPr="002F781D">
        <w:rPr>
          <w:bCs/>
          <w:color w:val="000000"/>
        </w:rPr>
        <w:t>dojíždějící,</w:t>
      </w:r>
      <w:proofErr w:type="gramEnd"/>
      <w:r w:rsidRPr="002F781D">
        <w:rPr>
          <w:bCs/>
          <w:color w:val="000000"/>
        </w:rPr>
        <w:t xml:space="preserve"> apod.)</w:t>
      </w:r>
    </w:p>
    <w:p w14:paraId="704FB7F2" w14:textId="33720D0D" w:rsidR="001F1C3E" w:rsidRPr="002F781D" w:rsidRDefault="001F1C3E" w:rsidP="001F1C3E">
      <w:pPr>
        <w:pStyle w:val="Odstavecseseznamem"/>
        <w:numPr>
          <w:ilvl w:val="3"/>
          <w:numId w:val="2"/>
        </w:numPr>
        <w:jc w:val="both"/>
        <w:rPr>
          <w:bCs/>
          <w:color w:val="000000"/>
        </w:rPr>
      </w:pPr>
      <w:r w:rsidRPr="002F781D">
        <w:rPr>
          <w:bCs/>
          <w:color w:val="000000"/>
        </w:rPr>
        <w:t>právní ochran</w:t>
      </w:r>
      <w:r w:rsidR="00461959" w:rsidRPr="002F781D">
        <w:rPr>
          <w:bCs/>
          <w:color w:val="000000"/>
        </w:rPr>
        <w:t>a</w:t>
      </w:r>
      <w:r w:rsidRPr="002F781D">
        <w:rPr>
          <w:bCs/>
          <w:color w:val="000000"/>
        </w:rPr>
        <w:t xml:space="preserve"> osobních údajů</w:t>
      </w:r>
    </w:p>
    <w:p w14:paraId="5A06D373" w14:textId="541F10DE" w:rsidR="00FE4A81" w:rsidRPr="002F781D" w:rsidRDefault="001F1C3E" w:rsidP="001F1C3E">
      <w:pPr>
        <w:pStyle w:val="Odstavecseseznamem"/>
        <w:numPr>
          <w:ilvl w:val="3"/>
          <w:numId w:val="2"/>
        </w:numPr>
        <w:jc w:val="both"/>
        <w:rPr>
          <w:bCs/>
          <w:color w:val="000000"/>
        </w:rPr>
      </w:pPr>
      <w:r w:rsidRPr="002F781D">
        <w:rPr>
          <w:bCs/>
          <w:color w:val="000000"/>
        </w:rPr>
        <w:t>podob</w:t>
      </w:r>
      <w:r w:rsidR="00461959" w:rsidRPr="002F781D">
        <w:rPr>
          <w:bCs/>
          <w:color w:val="000000"/>
        </w:rPr>
        <w:t>a</w:t>
      </w:r>
      <w:r w:rsidRPr="002F781D">
        <w:rPr>
          <w:bCs/>
          <w:color w:val="000000"/>
        </w:rPr>
        <w:t xml:space="preserve"> výstupů s příkladem možné struktury datové matice cest</w:t>
      </w:r>
    </w:p>
    <w:p w14:paraId="611C10E6" w14:textId="77777777" w:rsidR="001F1C3E" w:rsidRPr="002F781D" w:rsidRDefault="001F1C3E" w:rsidP="00A62EF7">
      <w:pPr>
        <w:pStyle w:val="Odstavecseseznamem"/>
        <w:jc w:val="both"/>
        <w:rPr>
          <w:bCs/>
          <w:color w:val="000000"/>
        </w:rPr>
      </w:pPr>
    </w:p>
    <w:p w14:paraId="1395AD92" w14:textId="17B561F1" w:rsidR="00A62EF7" w:rsidRPr="002F781D" w:rsidRDefault="00A62EF7" w:rsidP="00A62EF7">
      <w:pPr>
        <w:pStyle w:val="Odstavecseseznamem"/>
        <w:jc w:val="both"/>
        <w:rPr>
          <w:bCs/>
          <w:color w:val="000000"/>
        </w:rPr>
      </w:pPr>
      <w:r w:rsidRPr="002F781D">
        <w:rPr>
          <w:bCs/>
          <w:color w:val="000000"/>
        </w:rPr>
        <w:t xml:space="preserve">Uchazeč může </w:t>
      </w:r>
      <w:r w:rsidRPr="002F781D">
        <w:rPr>
          <w:b/>
          <w:bCs/>
          <w:color w:val="000000"/>
        </w:rPr>
        <w:t xml:space="preserve">v rámci </w:t>
      </w:r>
      <w:r w:rsidR="00805731" w:rsidRPr="002F781D">
        <w:rPr>
          <w:b/>
          <w:bCs/>
          <w:color w:val="000000"/>
        </w:rPr>
        <w:t xml:space="preserve">tohoto </w:t>
      </w:r>
      <w:r w:rsidRPr="002F781D">
        <w:rPr>
          <w:b/>
          <w:bCs/>
          <w:color w:val="000000"/>
        </w:rPr>
        <w:t xml:space="preserve">kritéria získat maximálně </w:t>
      </w:r>
      <w:r w:rsidR="00DD173E" w:rsidRPr="002F781D">
        <w:rPr>
          <w:b/>
          <w:bCs/>
          <w:color w:val="000000"/>
        </w:rPr>
        <w:t>6</w:t>
      </w:r>
      <w:r w:rsidRPr="002F781D">
        <w:rPr>
          <w:b/>
          <w:bCs/>
          <w:color w:val="000000"/>
        </w:rPr>
        <w:t>0 bodů</w:t>
      </w:r>
      <w:r w:rsidRPr="002F781D">
        <w:rPr>
          <w:bCs/>
          <w:color w:val="000000"/>
        </w:rPr>
        <w:t>.</w:t>
      </w:r>
    </w:p>
    <w:p w14:paraId="31012282" w14:textId="2DF8F1D2" w:rsidR="00A62EF7" w:rsidRPr="002F781D" w:rsidRDefault="00A62EF7" w:rsidP="0068019A">
      <w:pPr>
        <w:spacing w:before="120"/>
        <w:ind w:left="708"/>
        <w:jc w:val="both"/>
      </w:pPr>
      <w:r w:rsidRPr="002F781D">
        <w:t>Výpočet získaných bodů:</w:t>
      </w:r>
    </w:p>
    <w:p w14:paraId="4F9D0851" w14:textId="77777777" w:rsidR="00A62EF7" w:rsidRPr="002F781D" w:rsidRDefault="00A62EF7" w:rsidP="00A62EF7">
      <w:pPr>
        <w:ind w:firstLine="708"/>
        <w:jc w:val="both"/>
        <w:rPr>
          <w:b/>
        </w:rPr>
      </w:pPr>
    </w:p>
    <w:p w14:paraId="6B6844C4" w14:textId="77777777" w:rsidR="00A62EF7" w:rsidRPr="002F781D" w:rsidRDefault="00A62EF7" w:rsidP="00A62EF7">
      <w:pPr>
        <w:ind w:firstLine="708"/>
        <w:jc w:val="both"/>
      </w:pPr>
      <w:r w:rsidRPr="002F781D">
        <w:t>Bodová škála:</w:t>
      </w:r>
    </w:p>
    <w:tbl>
      <w:tblPr>
        <w:tblW w:w="8361" w:type="dxa"/>
        <w:tblInd w:w="709" w:type="dxa"/>
        <w:tblCellMar>
          <w:left w:w="0" w:type="dxa"/>
          <w:right w:w="0" w:type="dxa"/>
        </w:tblCellMar>
        <w:tblLook w:val="04A0" w:firstRow="1" w:lastRow="0" w:firstColumn="1" w:lastColumn="0" w:noHBand="0" w:noVBand="1"/>
      </w:tblPr>
      <w:tblGrid>
        <w:gridCol w:w="1134"/>
        <w:gridCol w:w="7227"/>
      </w:tblGrid>
      <w:tr w:rsidR="00A62EF7" w:rsidRPr="002F781D" w14:paraId="21DD667C" w14:textId="77777777" w:rsidTr="00695BE4">
        <w:tc>
          <w:tcPr>
            <w:tcW w:w="1134" w:type="dxa"/>
            <w:shd w:val="clear" w:color="auto" w:fill="auto"/>
            <w:tcMar>
              <w:top w:w="0" w:type="dxa"/>
              <w:left w:w="108" w:type="dxa"/>
              <w:bottom w:w="0" w:type="dxa"/>
              <w:right w:w="108" w:type="dxa"/>
            </w:tcMar>
            <w:hideMark/>
          </w:tcPr>
          <w:p w14:paraId="1A231163" w14:textId="1109585F" w:rsidR="00A62EF7" w:rsidRPr="002F781D" w:rsidRDefault="005B0B59" w:rsidP="002B4D79">
            <w:pPr>
              <w:jc w:val="both"/>
            </w:pPr>
            <w:r w:rsidRPr="002F781D">
              <w:t>6</w:t>
            </w:r>
            <w:r w:rsidR="00A62EF7" w:rsidRPr="002F781D">
              <w:t>0–</w:t>
            </w:r>
            <w:r w:rsidRPr="002F781D">
              <w:t>48</w:t>
            </w:r>
            <w:r w:rsidR="00A62EF7" w:rsidRPr="002F781D">
              <w:t xml:space="preserve">      </w:t>
            </w:r>
          </w:p>
        </w:tc>
        <w:tc>
          <w:tcPr>
            <w:tcW w:w="7227" w:type="dxa"/>
            <w:shd w:val="clear" w:color="auto" w:fill="auto"/>
            <w:tcMar>
              <w:top w:w="0" w:type="dxa"/>
              <w:left w:w="108" w:type="dxa"/>
              <w:bottom w:w="0" w:type="dxa"/>
              <w:right w:w="108" w:type="dxa"/>
            </w:tcMar>
            <w:hideMark/>
          </w:tcPr>
          <w:p w14:paraId="4E5EB1F2" w14:textId="5C89E8BE" w:rsidR="00A62EF7" w:rsidRPr="002F781D" w:rsidRDefault="00A62EF7" w:rsidP="002B4D79">
            <w:pPr>
              <w:ind w:left="31" w:hanging="31"/>
              <w:jc w:val="both"/>
            </w:pPr>
            <w:r w:rsidRPr="002F781D">
              <w:t>Kvalita nabízeného řešení je excelentní a plně koresponduje se záměrem zadavatele,</w:t>
            </w:r>
          </w:p>
        </w:tc>
      </w:tr>
      <w:tr w:rsidR="00A62EF7" w:rsidRPr="002F781D" w14:paraId="47FC3DD0" w14:textId="77777777" w:rsidTr="00695BE4">
        <w:tc>
          <w:tcPr>
            <w:tcW w:w="1134" w:type="dxa"/>
            <w:shd w:val="clear" w:color="auto" w:fill="auto"/>
            <w:tcMar>
              <w:top w:w="0" w:type="dxa"/>
              <w:left w:w="108" w:type="dxa"/>
              <w:bottom w:w="0" w:type="dxa"/>
              <w:right w:w="108" w:type="dxa"/>
            </w:tcMar>
            <w:hideMark/>
          </w:tcPr>
          <w:p w14:paraId="45B16728" w14:textId="1D0F38F2" w:rsidR="00A62EF7" w:rsidRPr="002F781D" w:rsidRDefault="005B0B59" w:rsidP="002B4D79">
            <w:pPr>
              <w:jc w:val="both"/>
            </w:pPr>
            <w:r w:rsidRPr="002F781D">
              <w:t>47</w:t>
            </w:r>
            <w:r w:rsidR="00A62EF7" w:rsidRPr="002F781D">
              <w:t>–</w:t>
            </w:r>
            <w:r w:rsidRPr="002F781D">
              <w:t>36</w:t>
            </w:r>
            <w:r w:rsidR="00A62EF7" w:rsidRPr="002F781D">
              <w:t xml:space="preserve">     </w:t>
            </w:r>
          </w:p>
        </w:tc>
        <w:tc>
          <w:tcPr>
            <w:tcW w:w="7227" w:type="dxa"/>
            <w:shd w:val="clear" w:color="auto" w:fill="auto"/>
            <w:tcMar>
              <w:top w:w="0" w:type="dxa"/>
              <w:left w:w="108" w:type="dxa"/>
              <w:bottom w:w="0" w:type="dxa"/>
              <w:right w:w="108" w:type="dxa"/>
            </w:tcMar>
            <w:hideMark/>
          </w:tcPr>
          <w:p w14:paraId="41CF47A4" w14:textId="472F237F" w:rsidR="00A62EF7" w:rsidRPr="002F781D" w:rsidRDefault="00A62EF7" w:rsidP="002B4D79">
            <w:pPr>
              <w:jc w:val="both"/>
            </w:pPr>
            <w:r w:rsidRPr="002F781D">
              <w:t>Kvalita nabízeného řešení je nadprůměrná a koresponduje se záměrem zadavatele,</w:t>
            </w:r>
          </w:p>
        </w:tc>
      </w:tr>
      <w:tr w:rsidR="00A62EF7" w:rsidRPr="002F781D" w14:paraId="3BD57C4A" w14:textId="77777777" w:rsidTr="00695BE4">
        <w:tc>
          <w:tcPr>
            <w:tcW w:w="1134" w:type="dxa"/>
            <w:shd w:val="clear" w:color="auto" w:fill="auto"/>
            <w:tcMar>
              <w:top w:w="0" w:type="dxa"/>
              <w:left w:w="108" w:type="dxa"/>
              <w:bottom w:w="0" w:type="dxa"/>
              <w:right w:w="108" w:type="dxa"/>
            </w:tcMar>
            <w:hideMark/>
          </w:tcPr>
          <w:p w14:paraId="32DC293C" w14:textId="47DC8D26" w:rsidR="00A62EF7" w:rsidRPr="002F781D" w:rsidRDefault="005B0B59" w:rsidP="002B4D79">
            <w:pPr>
              <w:jc w:val="both"/>
            </w:pPr>
            <w:r w:rsidRPr="002F781D">
              <w:t>35</w:t>
            </w:r>
            <w:r w:rsidR="00A62EF7" w:rsidRPr="002F781D">
              <w:t>–</w:t>
            </w:r>
            <w:r w:rsidRPr="002F781D">
              <w:t>24</w:t>
            </w:r>
            <w:r w:rsidR="00A62EF7" w:rsidRPr="002F781D">
              <w:t xml:space="preserve">      </w:t>
            </w:r>
          </w:p>
        </w:tc>
        <w:tc>
          <w:tcPr>
            <w:tcW w:w="7227" w:type="dxa"/>
            <w:shd w:val="clear" w:color="auto" w:fill="auto"/>
            <w:tcMar>
              <w:top w:w="0" w:type="dxa"/>
              <w:left w:w="108" w:type="dxa"/>
              <w:bottom w:w="0" w:type="dxa"/>
              <w:right w:w="108" w:type="dxa"/>
            </w:tcMar>
            <w:hideMark/>
          </w:tcPr>
          <w:p w14:paraId="4326A003" w14:textId="2BF23F9A" w:rsidR="00A62EF7" w:rsidRPr="002F781D" w:rsidRDefault="00A62EF7" w:rsidP="002B4D79">
            <w:pPr>
              <w:jc w:val="both"/>
            </w:pPr>
            <w:r w:rsidRPr="002F781D">
              <w:t>Kvalita nabízeného řešení je průměrná a koresponduje se záměrem zadavatele pouze částečně,</w:t>
            </w:r>
          </w:p>
        </w:tc>
      </w:tr>
      <w:tr w:rsidR="00A62EF7" w:rsidRPr="002F781D" w14:paraId="52B885D1" w14:textId="77777777" w:rsidTr="00695BE4">
        <w:tc>
          <w:tcPr>
            <w:tcW w:w="1134" w:type="dxa"/>
            <w:shd w:val="clear" w:color="auto" w:fill="auto"/>
            <w:tcMar>
              <w:top w:w="0" w:type="dxa"/>
              <w:left w:w="108" w:type="dxa"/>
              <w:bottom w:w="0" w:type="dxa"/>
              <w:right w:w="108" w:type="dxa"/>
            </w:tcMar>
            <w:hideMark/>
          </w:tcPr>
          <w:p w14:paraId="080DFDA0" w14:textId="0707F944" w:rsidR="00A62EF7" w:rsidRPr="002F781D" w:rsidRDefault="005B0B59" w:rsidP="002B4D79">
            <w:pPr>
              <w:jc w:val="both"/>
            </w:pPr>
            <w:r w:rsidRPr="002F781D">
              <w:t>23</w:t>
            </w:r>
            <w:r w:rsidR="00A62EF7" w:rsidRPr="002F781D">
              <w:t>–</w:t>
            </w:r>
            <w:r w:rsidRPr="002F781D">
              <w:t>12</w:t>
            </w:r>
            <w:r w:rsidR="00A62EF7" w:rsidRPr="002F781D">
              <w:t xml:space="preserve">  </w:t>
            </w:r>
          </w:p>
        </w:tc>
        <w:tc>
          <w:tcPr>
            <w:tcW w:w="7227" w:type="dxa"/>
            <w:shd w:val="clear" w:color="auto" w:fill="auto"/>
            <w:tcMar>
              <w:top w:w="0" w:type="dxa"/>
              <w:left w:w="108" w:type="dxa"/>
              <w:bottom w:w="0" w:type="dxa"/>
              <w:right w:w="108" w:type="dxa"/>
            </w:tcMar>
            <w:hideMark/>
          </w:tcPr>
          <w:p w14:paraId="1BC79554" w14:textId="0CAE0815" w:rsidR="00A62EF7" w:rsidRPr="002F781D" w:rsidRDefault="00A62EF7" w:rsidP="002B4D79">
            <w:pPr>
              <w:jc w:val="both"/>
            </w:pPr>
            <w:r w:rsidRPr="002F781D">
              <w:t xml:space="preserve">Kvalita nabízeného řešení je spíše podprůměrná a z větší části nekoresponduje se záměrem zadavatele, </w:t>
            </w:r>
          </w:p>
        </w:tc>
      </w:tr>
      <w:tr w:rsidR="00A62EF7" w:rsidRPr="002F781D" w14:paraId="3B6FEB27" w14:textId="77777777" w:rsidTr="00695BE4">
        <w:tc>
          <w:tcPr>
            <w:tcW w:w="1134" w:type="dxa"/>
            <w:shd w:val="clear" w:color="auto" w:fill="auto"/>
            <w:tcMar>
              <w:top w:w="0" w:type="dxa"/>
              <w:left w:w="108" w:type="dxa"/>
              <w:bottom w:w="0" w:type="dxa"/>
              <w:right w:w="108" w:type="dxa"/>
            </w:tcMar>
            <w:hideMark/>
          </w:tcPr>
          <w:p w14:paraId="0BF275A6" w14:textId="1AF20641" w:rsidR="00A62EF7" w:rsidRPr="002F781D" w:rsidRDefault="005B0B59" w:rsidP="002B4D79">
            <w:pPr>
              <w:jc w:val="both"/>
            </w:pPr>
            <w:r w:rsidRPr="002F781D">
              <w:t>11</w:t>
            </w:r>
            <w:r w:rsidR="00A62EF7" w:rsidRPr="002F781D">
              <w:t>–0</w:t>
            </w:r>
          </w:p>
        </w:tc>
        <w:tc>
          <w:tcPr>
            <w:tcW w:w="7227" w:type="dxa"/>
            <w:shd w:val="clear" w:color="auto" w:fill="auto"/>
            <w:tcMar>
              <w:top w:w="0" w:type="dxa"/>
              <w:left w:w="108" w:type="dxa"/>
              <w:bottom w:w="0" w:type="dxa"/>
              <w:right w:w="108" w:type="dxa"/>
            </w:tcMar>
            <w:hideMark/>
          </w:tcPr>
          <w:p w14:paraId="6F982929" w14:textId="12F144E4" w:rsidR="00A62EF7" w:rsidRPr="002F781D" w:rsidRDefault="00A62EF7" w:rsidP="002B4D79">
            <w:pPr>
              <w:jc w:val="both"/>
            </w:pPr>
            <w:r w:rsidRPr="002F781D">
              <w:t>Kvalita nabízeného řešení je podprůměrná a zcela nekoresponduje se zadáním Zadavatele.</w:t>
            </w:r>
          </w:p>
        </w:tc>
      </w:tr>
    </w:tbl>
    <w:p w14:paraId="3B69F852" w14:textId="77777777" w:rsidR="00A62EF7" w:rsidRPr="002F781D" w:rsidRDefault="00A62EF7" w:rsidP="005F5636">
      <w:pPr>
        <w:spacing w:before="120"/>
        <w:jc w:val="both"/>
      </w:pPr>
    </w:p>
    <w:p w14:paraId="23302593" w14:textId="62BFE53E" w:rsidR="0068019A" w:rsidRPr="002F781D" w:rsidRDefault="0068019A" w:rsidP="000401B4">
      <w:pPr>
        <w:pStyle w:val="Odstavecseseznamem"/>
        <w:numPr>
          <w:ilvl w:val="0"/>
          <w:numId w:val="7"/>
        </w:numPr>
        <w:spacing w:before="120"/>
        <w:jc w:val="both"/>
        <w:rPr>
          <w:b/>
        </w:rPr>
      </w:pPr>
      <w:r w:rsidRPr="002F781D">
        <w:rPr>
          <w:b/>
        </w:rPr>
        <w:t>Dodání dat za buňky sítě (Cell-ID)</w:t>
      </w:r>
    </w:p>
    <w:p w14:paraId="154A698C" w14:textId="612CA334" w:rsidR="0068019A" w:rsidRPr="002F781D" w:rsidRDefault="0068019A" w:rsidP="0068019A">
      <w:pPr>
        <w:spacing w:before="120"/>
        <w:ind w:left="708"/>
        <w:jc w:val="both"/>
      </w:pPr>
      <w:r w:rsidRPr="002F781D">
        <w:t>Kladným způsobem je hodnoceno dodání dat v prostorovém vymezení buněk sítě (dle Cell-ID). Jelikož se pokrytí signálu z daných buněk neztotožňuje s administrativními územními jednotkami, dodání dat před přepočtem prostorové distribuce cest do administrativních jednotek poskytne zadavateli další možnosti pro využití dat mobilního operátora. Zadavatel</w:t>
      </w:r>
      <w:r w:rsidR="00950297" w:rsidRPr="002F781D">
        <w:t xml:space="preserve"> si uvědomuje možné limity s tímto vymezením (v podrobnostech viz příloha č. 1 v rámci přílohy č. 2 těchto zadávacích podmínek).</w:t>
      </w:r>
      <w:r w:rsidRPr="002F781D">
        <w:t xml:space="preserve"> </w:t>
      </w:r>
      <w:r w:rsidR="00950297" w:rsidRPr="002F781D">
        <w:t xml:space="preserve">Zadavatel </w:t>
      </w:r>
      <w:r w:rsidRPr="002F781D">
        <w:t>disponuje takovou znalostí příslušného území (zejména Brno), která mu při přepočtu dat do preferovaného územního členění (nejen administrativní celky, ale také např. zastavěné území) výrazně pomůže.</w:t>
      </w:r>
    </w:p>
    <w:p w14:paraId="084E280C" w14:textId="0294C597" w:rsidR="0068019A" w:rsidRPr="002F781D" w:rsidRDefault="0068019A" w:rsidP="0068019A">
      <w:pPr>
        <w:spacing w:before="120"/>
        <w:ind w:left="708"/>
        <w:jc w:val="both"/>
      </w:pPr>
      <w:r w:rsidRPr="002F781D">
        <w:t xml:space="preserve">Uchazeč </w:t>
      </w:r>
      <w:r w:rsidRPr="002F781D">
        <w:rPr>
          <w:bCs/>
          <w:color w:val="000000"/>
        </w:rPr>
        <w:t xml:space="preserve">může </w:t>
      </w:r>
      <w:r w:rsidRPr="002F781D">
        <w:rPr>
          <w:b/>
          <w:bCs/>
          <w:color w:val="000000"/>
        </w:rPr>
        <w:t xml:space="preserve">v rámci kritéria dodání dat za buňky sítě (Cell-ID) získat maximálně </w:t>
      </w:r>
      <w:r w:rsidR="00695BE4" w:rsidRPr="002F781D">
        <w:rPr>
          <w:b/>
          <w:bCs/>
          <w:color w:val="000000"/>
        </w:rPr>
        <w:t>1</w:t>
      </w:r>
      <w:r w:rsidRPr="002F781D">
        <w:rPr>
          <w:b/>
          <w:bCs/>
          <w:color w:val="000000"/>
        </w:rPr>
        <w:t>0 bodů.</w:t>
      </w:r>
    </w:p>
    <w:p w14:paraId="146AF0DD" w14:textId="0DC94869" w:rsidR="0068019A" w:rsidRPr="002F781D" w:rsidRDefault="0068019A" w:rsidP="0068019A">
      <w:pPr>
        <w:spacing w:before="120"/>
        <w:ind w:firstLine="708"/>
        <w:jc w:val="both"/>
      </w:pPr>
      <w:r w:rsidRPr="002F781D">
        <w:lastRenderedPageBreak/>
        <w:t>Výpočet získaných bodů</w:t>
      </w:r>
      <w:r w:rsidR="00A62EF7" w:rsidRPr="002F781D">
        <w:t>:</w:t>
      </w:r>
    </w:p>
    <w:p w14:paraId="681EE563" w14:textId="3D09CC2F" w:rsidR="0068019A" w:rsidRPr="002F781D" w:rsidRDefault="00A62EF7" w:rsidP="003213B5">
      <w:pPr>
        <w:spacing w:before="120"/>
        <w:jc w:val="both"/>
      </w:pPr>
      <w:r w:rsidRPr="002F781D">
        <w:tab/>
        <w:t xml:space="preserve">Dodání dat za buňky sítě (Cell-ID) ANO = </w:t>
      </w:r>
      <w:r w:rsidR="00DD173E" w:rsidRPr="002F781D">
        <w:t>1</w:t>
      </w:r>
      <w:r w:rsidRPr="002F781D">
        <w:t>0 bodů; NE = 0 bodů</w:t>
      </w:r>
    </w:p>
    <w:p w14:paraId="73065570" w14:textId="4C144FB9" w:rsidR="004537B8" w:rsidRPr="002F781D" w:rsidRDefault="00181AA2" w:rsidP="00A72E9B">
      <w:pPr>
        <w:suppressAutoHyphens/>
        <w:autoSpaceDN w:val="0"/>
        <w:spacing w:before="120"/>
        <w:jc w:val="both"/>
        <w:textAlignment w:val="baseline"/>
      </w:pPr>
      <w:r w:rsidRPr="002F781D">
        <w:t>Celkové hodnocení nabídky bude sestaveno na základě součtu příslušný</w:t>
      </w:r>
      <w:r w:rsidR="00E125C2" w:rsidRPr="002F781D">
        <w:t>ch</w:t>
      </w:r>
      <w:r w:rsidRPr="002F781D">
        <w:t xml:space="preserve"> bodových hodnot dosažených v</w:t>
      </w:r>
      <w:r w:rsidR="00816A96" w:rsidRPr="002F781D">
        <w:t xml:space="preserve"> jednotlivých</w:t>
      </w:r>
      <w:r w:rsidRPr="002F781D">
        <w:t xml:space="preserve"> kritériích. Výsledné pořadí jednotlivých nabídek bude stanoveno tak, že za nejv</w:t>
      </w:r>
      <w:r w:rsidR="64D90AD7" w:rsidRPr="002F781D">
        <w:t>ý</w:t>
      </w:r>
      <w:r w:rsidRPr="002F781D">
        <w:t xml:space="preserve">hodnější bude považována nabídka, která dosáhla </w:t>
      </w:r>
      <w:r w:rsidR="00816A96" w:rsidRPr="002F781D">
        <w:t xml:space="preserve">v součtu </w:t>
      </w:r>
      <w:r w:rsidRPr="002F781D">
        <w:t xml:space="preserve">nejvyšší </w:t>
      </w:r>
      <w:r w:rsidR="00A62EF7" w:rsidRPr="002F781D">
        <w:t xml:space="preserve">počet bodů za jednotlivá </w:t>
      </w:r>
      <w:r w:rsidR="00816A96" w:rsidRPr="002F781D">
        <w:t>kritéria</w:t>
      </w:r>
      <w:r w:rsidR="00A62EF7" w:rsidRPr="002F781D">
        <w:t xml:space="preserve"> hodnocení</w:t>
      </w:r>
      <w:r w:rsidR="00351181" w:rsidRPr="002F781D">
        <w:t>, maximálně tedy 100 bodů.</w:t>
      </w:r>
    </w:p>
    <w:p w14:paraId="55088D6B" w14:textId="1A0864BB" w:rsidR="00674F6F" w:rsidRPr="002F781D" w:rsidRDefault="00674F6F" w:rsidP="00191196">
      <w:pPr>
        <w:spacing w:after="120"/>
        <w:jc w:val="both"/>
        <w:rPr>
          <w:b/>
        </w:rPr>
      </w:pPr>
    </w:p>
    <w:p w14:paraId="4969B243" w14:textId="4FA5BFD2" w:rsidR="00805731" w:rsidRPr="002F781D" w:rsidRDefault="00805731" w:rsidP="000401B4">
      <w:pPr>
        <w:pStyle w:val="Odstavecseseznamem"/>
        <w:widowControl w:val="0"/>
        <w:numPr>
          <w:ilvl w:val="0"/>
          <w:numId w:val="4"/>
        </w:numPr>
        <w:pBdr>
          <w:top w:val="single" w:sz="4" w:space="1" w:color="auto"/>
          <w:left w:val="single" w:sz="4" w:space="4" w:color="auto"/>
          <w:bottom w:val="single" w:sz="4" w:space="1" w:color="auto"/>
          <w:right w:val="single" w:sz="4" w:space="4" w:color="auto"/>
        </w:pBdr>
        <w:tabs>
          <w:tab w:val="left" w:pos="432"/>
          <w:tab w:val="left" w:pos="1152"/>
          <w:tab w:val="left" w:pos="1584"/>
          <w:tab w:val="left" w:pos="1728"/>
          <w:tab w:val="left" w:pos="3312"/>
          <w:tab w:val="left" w:pos="4032"/>
        </w:tabs>
        <w:suppressAutoHyphens/>
        <w:autoSpaceDN w:val="0"/>
        <w:spacing w:before="120"/>
        <w:ind w:hanging="720"/>
        <w:contextualSpacing w:val="0"/>
        <w:jc w:val="both"/>
        <w:textAlignment w:val="baseline"/>
        <w:rPr>
          <w:b/>
          <w:bCs/>
        </w:rPr>
      </w:pPr>
      <w:r w:rsidRPr="002F781D">
        <w:rPr>
          <w:b/>
          <w:bCs/>
        </w:rPr>
        <w:t>Informace k ochranně osobních údajů</w:t>
      </w:r>
    </w:p>
    <w:p w14:paraId="3E860C0E" w14:textId="77777777" w:rsidR="009F3C01" w:rsidRPr="002F781D" w:rsidRDefault="009F3C01" w:rsidP="009F3C01">
      <w:pPr>
        <w:ind w:left="792"/>
        <w:jc w:val="both"/>
        <w:rPr>
          <w:sz w:val="12"/>
          <w:szCs w:val="12"/>
        </w:rPr>
      </w:pPr>
    </w:p>
    <w:p w14:paraId="2DCEC6AF" w14:textId="404DF1AB" w:rsidR="00805731" w:rsidRPr="002F781D" w:rsidRDefault="00805731" w:rsidP="000401B4">
      <w:pPr>
        <w:numPr>
          <w:ilvl w:val="1"/>
          <w:numId w:val="5"/>
        </w:numPr>
        <w:ind w:hanging="650"/>
        <w:jc w:val="both"/>
      </w:pPr>
      <w:r w:rsidRPr="002F781D">
        <w:t>Zadavatel</w:t>
      </w:r>
      <w:r w:rsidR="00512BE9" w:rsidRPr="002F781D">
        <w:t xml:space="preserve"> č.1</w:t>
      </w:r>
      <w:r w:rsidR="002F781D" w:rsidRPr="002F781D">
        <w:t>,</w:t>
      </w:r>
      <w:r w:rsidRPr="002F781D">
        <w:t xml:space="preserve"> </w:t>
      </w:r>
      <w:r w:rsidR="00512BE9" w:rsidRPr="002F781D">
        <w:t xml:space="preserve">v zastoupení i </w:t>
      </w:r>
      <w:r w:rsidR="002F781D" w:rsidRPr="002F781D">
        <w:t xml:space="preserve">za </w:t>
      </w:r>
      <w:r w:rsidR="00512BE9" w:rsidRPr="002F781D">
        <w:t xml:space="preserve">zadavatele </w:t>
      </w:r>
      <w:r w:rsidR="002F781D" w:rsidRPr="002F781D">
        <w:t xml:space="preserve">č. </w:t>
      </w:r>
      <w:r w:rsidR="00512BE9" w:rsidRPr="002F781D">
        <w:t>2</w:t>
      </w:r>
      <w:r w:rsidR="002F781D" w:rsidRPr="002F781D">
        <w:t>,</w:t>
      </w:r>
      <w:r w:rsidR="00512BE9" w:rsidRPr="002F781D">
        <w:t xml:space="preserve"> </w:t>
      </w:r>
      <w:r w:rsidRPr="002F781D">
        <w:t xml:space="preserve">v postavení správce osobních údajů tímto informuje ve smyslu čl. 13 Nařízení Evropského parlamentu a Rady (EU) 2016/679 o ochraně fyzických osob v souvislosti se zpracováním osobních údajů a o volném pohybu těchto údajů (dále jen „GDPR“) a zákona č. 110/2019 Sb., o zpracování osobních údajů, ve znění pozdějších předpisů, účastníka o zpracování osobních údajů za účelem zadání veřejné zakázky malého rozsahu. </w:t>
      </w:r>
    </w:p>
    <w:p w14:paraId="40B17B4B" w14:textId="77777777" w:rsidR="009F3C01" w:rsidRPr="002F781D" w:rsidRDefault="009F3C01" w:rsidP="005F5636">
      <w:pPr>
        <w:tabs>
          <w:tab w:val="num" w:pos="792"/>
        </w:tabs>
        <w:ind w:left="792" w:hanging="650"/>
        <w:jc w:val="both"/>
        <w:rPr>
          <w:sz w:val="12"/>
          <w:szCs w:val="12"/>
        </w:rPr>
      </w:pPr>
    </w:p>
    <w:p w14:paraId="70A8E1DE" w14:textId="2E48DF40" w:rsidR="00805731" w:rsidRPr="002F781D" w:rsidRDefault="00805731" w:rsidP="000401B4">
      <w:pPr>
        <w:numPr>
          <w:ilvl w:val="1"/>
          <w:numId w:val="5"/>
        </w:numPr>
        <w:ind w:hanging="650"/>
        <w:jc w:val="both"/>
      </w:pPr>
      <w:r w:rsidRPr="002F781D">
        <w:t xml:space="preserve">Zadavatel </w:t>
      </w:r>
      <w:r w:rsidR="00512BE9" w:rsidRPr="002F781D">
        <w:t xml:space="preserve">č. 1 </w:t>
      </w:r>
      <w:r w:rsidRPr="002F781D">
        <w:t xml:space="preserve">může v rámci realizace výběrového řízení zpracovávat osobní údaje dodavatele a jeho případných poddodavatelů (z řad fyzických osob podnikajících), členů statutárních orgánů a kontaktních osob dodavatele a dalších nezbytných osobních údajů. </w:t>
      </w:r>
    </w:p>
    <w:p w14:paraId="1BF067DC" w14:textId="77777777" w:rsidR="009F3C01" w:rsidRPr="002F781D" w:rsidRDefault="009F3C01" w:rsidP="005F5636">
      <w:pPr>
        <w:tabs>
          <w:tab w:val="num" w:pos="792"/>
        </w:tabs>
        <w:ind w:hanging="650"/>
        <w:jc w:val="both"/>
        <w:rPr>
          <w:sz w:val="12"/>
          <w:szCs w:val="12"/>
        </w:rPr>
      </w:pPr>
    </w:p>
    <w:p w14:paraId="19EDE7A1" w14:textId="4448F7C8" w:rsidR="00805731" w:rsidRPr="002F781D" w:rsidRDefault="00805731" w:rsidP="000401B4">
      <w:pPr>
        <w:numPr>
          <w:ilvl w:val="1"/>
          <w:numId w:val="5"/>
        </w:numPr>
        <w:ind w:hanging="650"/>
        <w:jc w:val="both"/>
      </w:pPr>
      <w:r w:rsidRPr="002F781D">
        <w:t xml:space="preserve">Zadavatel </w:t>
      </w:r>
      <w:r w:rsidR="002F781D" w:rsidRPr="002F781D">
        <w:t xml:space="preserve">č. 1 </w:t>
      </w:r>
      <w:r w:rsidRPr="002F781D">
        <w:t xml:space="preserve">bude zpracovávat osobní údaje pouze v rozsahu nezbytném pro realizaci výběrového řízení a pouze po dobu stanovenou právními předpisy. Subjekty údajů jsou oprávněny uplatňovat jejich práva dle čl. 13 až 22 GDPR v písemné formě na adrese sídla zadavatele. </w:t>
      </w:r>
    </w:p>
    <w:p w14:paraId="197185C2" w14:textId="1859E001" w:rsidR="00805731" w:rsidRPr="002F781D" w:rsidRDefault="00805731" w:rsidP="00191196">
      <w:pPr>
        <w:spacing w:after="120"/>
        <w:jc w:val="both"/>
        <w:rPr>
          <w:b/>
        </w:rPr>
      </w:pPr>
    </w:p>
    <w:p w14:paraId="03FE09E6" w14:textId="19646575" w:rsidR="00181AA2" w:rsidRPr="002F781D" w:rsidRDefault="002C4F9C" w:rsidP="000401B4">
      <w:pPr>
        <w:pStyle w:val="Odstavecseseznamem"/>
        <w:widowControl w:val="0"/>
        <w:numPr>
          <w:ilvl w:val="0"/>
          <w:numId w:val="4"/>
        </w:numPr>
        <w:pBdr>
          <w:top w:val="single" w:sz="4" w:space="1" w:color="auto"/>
          <w:left w:val="single" w:sz="4" w:space="4" w:color="auto"/>
          <w:bottom w:val="single" w:sz="4" w:space="1" w:color="auto"/>
          <w:right w:val="single" w:sz="4" w:space="4" w:color="auto"/>
        </w:pBdr>
        <w:tabs>
          <w:tab w:val="left" w:pos="432"/>
          <w:tab w:val="left" w:pos="1152"/>
          <w:tab w:val="left" w:pos="1584"/>
          <w:tab w:val="left" w:pos="1728"/>
          <w:tab w:val="left" w:pos="3312"/>
          <w:tab w:val="left" w:pos="4032"/>
        </w:tabs>
        <w:suppressAutoHyphens/>
        <w:autoSpaceDN w:val="0"/>
        <w:spacing w:before="120"/>
        <w:ind w:hanging="720"/>
        <w:contextualSpacing w:val="0"/>
        <w:jc w:val="both"/>
        <w:textAlignment w:val="baseline"/>
        <w:rPr>
          <w:b/>
          <w:bCs/>
        </w:rPr>
      </w:pPr>
      <w:bookmarkStart w:id="5" w:name="_Hlk12964708"/>
      <w:r w:rsidRPr="002F781D">
        <w:rPr>
          <w:b/>
          <w:bCs/>
        </w:rPr>
        <w:t>Další podmínky a závěrečné informace</w:t>
      </w:r>
      <w:bookmarkEnd w:id="5"/>
    </w:p>
    <w:p w14:paraId="2F10DC6E" w14:textId="1195847B" w:rsidR="009F3C01" w:rsidRPr="002F781D" w:rsidRDefault="009F3C01" w:rsidP="009F3C01">
      <w:pPr>
        <w:jc w:val="both"/>
        <w:rPr>
          <w:b/>
          <w:bCs/>
          <w:sz w:val="12"/>
          <w:szCs w:val="12"/>
        </w:rPr>
      </w:pPr>
      <w:r w:rsidRPr="002F781D">
        <w:rPr>
          <w:b/>
          <w:bCs/>
          <w:sz w:val="12"/>
          <w:szCs w:val="12"/>
        </w:rPr>
        <w:t>7</w:t>
      </w:r>
    </w:p>
    <w:p w14:paraId="5EF23401" w14:textId="723AD511" w:rsidR="00181AA2" w:rsidRPr="002F781D" w:rsidRDefault="00181AA2" w:rsidP="000401B4">
      <w:pPr>
        <w:pStyle w:val="Odstavecseseznamem"/>
        <w:numPr>
          <w:ilvl w:val="1"/>
          <w:numId w:val="12"/>
        </w:numPr>
        <w:ind w:left="709" w:hanging="567"/>
        <w:jc w:val="both"/>
        <w:rPr>
          <w:b/>
          <w:bCs/>
        </w:rPr>
      </w:pPr>
      <w:r w:rsidRPr="002F781D">
        <w:t xml:space="preserve">Žádná osoba se nesmí zúčastnit tohoto </w:t>
      </w:r>
      <w:r w:rsidR="00795C4D" w:rsidRPr="002F781D">
        <w:t xml:space="preserve">výběrového </w:t>
      </w:r>
      <w:r w:rsidRPr="002F781D">
        <w:t>řízení jako dodavatel více než jednou.</w:t>
      </w:r>
    </w:p>
    <w:p w14:paraId="560CE24A" w14:textId="77777777" w:rsidR="009F3C01" w:rsidRPr="002F781D" w:rsidRDefault="009F3C01" w:rsidP="009F3C01">
      <w:pPr>
        <w:pStyle w:val="Odstavecseseznamem"/>
        <w:ind w:left="709"/>
        <w:jc w:val="both"/>
        <w:rPr>
          <w:b/>
          <w:bCs/>
          <w:sz w:val="12"/>
          <w:szCs w:val="12"/>
        </w:rPr>
      </w:pPr>
    </w:p>
    <w:p w14:paraId="594B4367" w14:textId="7F87A741" w:rsidR="009F3C01" w:rsidRPr="002F781D" w:rsidRDefault="00181AA2" w:rsidP="000401B4">
      <w:pPr>
        <w:pStyle w:val="Odstavecseseznamem"/>
        <w:numPr>
          <w:ilvl w:val="1"/>
          <w:numId w:val="12"/>
        </w:numPr>
        <w:ind w:left="709" w:hanging="567"/>
        <w:jc w:val="both"/>
        <w:rPr>
          <w:b/>
          <w:bCs/>
        </w:rPr>
      </w:pPr>
      <w:r w:rsidRPr="002F781D">
        <w:t>Náklady dodavatelů spojené s účastí v</w:t>
      </w:r>
      <w:r w:rsidR="00795C4D" w:rsidRPr="002F781D">
        <w:t>e</w:t>
      </w:r>
      <w:r w:rsidRPr="002F781D">
        <w:t> </w:t>
      </w:r>
      <w:r w:rsidR="00795C4D" w:rsidRPr="002F781D">
        <w:t xml:space="preserve">výběrovém </w:t>
      </w:r>
      <w:r w:rsidRPr="002F781D">
        <w:t xml:space="preserve">řízení </w:t>
      </w:r>
      <w:r w:rsidR="003603EF" w:rsidRPr="002F781D">
        <w:t xml:space="preserve">zadavatel </w:t>
      </w:r>
      <w:r w:rsidRPr="002F781D">
        <w:t>nehradí.</w:t>
      </w:r>
    </w:p>
    <w:p w14:paraId="30E83316" w14:textId="77777777" w:rsidR="009F3C01" w:rsidRPr="002F781D" w:rsidRDefault="009F3C01" w:rsidP="009F3C01">
      <w:pPr>
        <w:pStyle w:val="Odstavecseseznamem"/>
        <w:ind w:left="709"/>
        <w:jc w:val="both"/>
        <w:rPr>
          <w:b/>
          <w:bCs/>
          <w:sz w:val="12"/>
          <w:szCs w:val="12"/>
        </w:rPr>
      </w:pPr>
    </w:p>
    <w:p w14:paraId="76E55036" w14:textId="47520720" w:rsidR="009F3C01" w:rsidRPr="002F781D" w:rsidRDefault="00181AA2" w:rsidP="000401B4">
      <w:pPr>
        <w:pStyle w:val="Odstavecseseznamem"/>
        <w:numPr>
          <w:ilvl w:val="1"/>
          <w:numId w:val="12"/>
        </w:numPr>
        <w:ind w:left="709" w:hanging="567"/>
        <w:jc w:val="both"/>
        <w:rPr>
          <w:b/>
          <w:bCs/>
        </w:rPr>
      </w:pPr>
      <w:r w:rsidRPr="002F781D">
        <w:t>Nabídky nebudou dodavatelům vráceny.</w:t>
      </w:r>
    </w:p>
    <w:p w14:paraId="53C132C4" w14:textId="77777777" w:rsidR="009F3C01" w:rsidRPr="002F781D" w:rsidRDefault="009F3C01" w:rsidP="009F3C01">
      <w:pPr>
        <w:pStyle w:val="Odstavecseseznamem"/>
        <w:ind w:left="709"/>
        <w:jc w:val="both"/>
        <w:rPr>
          <w:b/>
          <w:bCs/>
          <w:sz w:val="12"/>
          <w:szCs w:val="12"/>
        </w:rPr>
      </w:pPr>
    </w:p>
    <w:p w14:paraId="4D0001F0" w14:textId="2A171D06" w:rsidR="009F3C01" w:rsidRPr="002F781D" w:rsidRDefault="003603EF" w:rsidP="000401B4">
      <w:pPr>
        <w:pStyle w:val="Odstavecseseznamem"/>
        <w:numPr>
          <w:ilvl w:val="1"/>
          <w:numId w:val="12"/>
        </w:numPr>
        <w:ind w:left="709" w:hanging="567"/>
        <w:jc w:val="both"/>
        <w:rPr>
          <w:b/>
          <w:bCs/>
        </w:rPr>
      </w:pPr>
      <w:r w:rsidRPr="002F781D">
        <w:t xml:space="preserve">Zadavatel </w:t>
      </w:r>
      <w:r w:rsidR="00181AA2" w:rsidRPr="002F781D">
        <w:t xml:space="preserve">prohlašuje, že poskytnuté údaje o jednotlivých dodavatelích považuje za důvěrné a bude je využívat jen pro účely tohoto </w:t>
      </w:r>
      <w:r w:rsidR="00795C4D" w:rsidRPr="002F781D">
        <w:t xml:space="preserve">výběrového </w:t>
      </w:r>
      <w:r w:rsidR="00181AA2" w:rsidRPr="002F781D">
        <w:t>řízení.</w:t>
      </w:r>
    </w:p>
    <w:p w14:paraId="6F89B945" w14:textId="77777777" w:rsidR="009F3C01" w:rsidRPr="002F781D" w:rsidRDefault="009F3C01" w:rsidP="009F3C01">
      <w:pPr>
        <w:pStyle w:val="Odstavecseseznamem"/>
        <w:ind w:left="709"/>
        <w:jc w:val="both"/>
        <w:rPr>
          <w:b/>
          <w:bCs/>
          <w:sz w:val="12"/>
          <w:szCs w:val="12"/>
        </w:rPr>
      </w:pPr>
    </w:p>
    <w:p w14:paraId="7124B10E" w14:textId="35C55CE6" w:rsidR="00181AA2" w:rsidRPr="002F781D" w:rsidRDefault="00181AA2" w:rsidP="000401B4">
      <w:pPr>
        <w:pStyle w:val="Odstavecseseznamem"/>
        <w:numPr>
          <w:ilvl w:val="1"/>
          <w:numId w:val="12"/>
        </w:numPr>
        <w:ind w:left="709" w:hanging="567"/>
        <w:jc w:val="both"/>
        <w:rPr>
          <w:b/>
          <w:bCs/>
        </w:rPr>
      </w:pPr>
      <w:r w:rsidRPr="002F781D">
        <w:t>Nabídka, která:</w:t>
      </w:r>
    </w:p>
    <w:p w14:paraId="27A959A1" w14:textId="77777777" w:rsidR="00181AA2" w:rsidRPr="002F781D" w:rsidRDefault="00181AA2" w:rsidP="000401B4">
      <w:pPr>
        <w:keepNext/>
        <w:numPr>
          <w:ilvl w:val="2"/>
          <w:numId w:val="11"/>
        </w:numPr>
        <w:spacing w:after="120"/>
        <w:jc w:val="both"/>
        <w:rPr>
          <w:b/>
          <w:bCs/>
        </w:rPr>
      </w:pPr>
      <w:r w:rsidRPr="002F781D">
        <w:t>nebude úplná nebo nebude obsahovat veškeré doklady, informace a přílohy stanovené těmito zadávacími podmínkami nebo</w:t>
      </w:r>
    </w:p>
    <w:p w14:paraId="26E02C90" w14:textId="77777777" w:rsidR="00181AA2" w:rsidRPr="002F781D" w:rsidRDefault="00181AA2" w:rsidP="000401B4">
      <w:pPr>
        <w:numPr>
          <w:ilvl w:val="2"/>
          <w:numId w:val="11"/>
        </w:numPr>
        <w:spacing w:after="120"/>
        <w:jc w:val="both"/>
        <w:rPr>
          <w:b/>
          <w:bCs/>
        </w:rPr>
      </w:pPr>
      <w:r w:rsidRPr="002F781D">
        <w:t>bude označena nebo doručena v rozporu s těmito zadávacími podmínkami nebo</w:t>
      </w:r>
    </w:p>
    <w:p w14:paraId="011A5733" w14:textId="77777777" w:rsidR="00181AA2" w:rsidRPr="002F781D" w:rsidRDefault="00181AA2" w:rsidP="000401B4">
      <w:pPr>
        <w:numPr>
          <w:ilvl w:val="2"/>
          <w:numId w:val="11"/>
        </w:numPr>
        <w:spacing w:after="120"/>
        <w:jc w:val="both"/>
        <w:rPr>
          <w:b/>
          <w:bCs/>
        </w:rPr>
      </w:pPr>
      <w:r w:rsidRPr="002F781D">
        <w:t>bude doručena po uplynutí lhůty pro podání nabídek</w:t>
      </w:r>
    </w:p>
    <w:p w14:paraId="6A8FEC8F" w14:textId="3CC9F6AB" w:rsidR="00181AA2" w:rsidRPr="002F781D" w:rsidRDefault="00181AA2" w:rsidP="00A438E7">
      <w:pPr>
        <w:spacing w:after="120"/>
        <w:ind w:left="794"/>
      </w:pPr>
      <w:r w:rsidRPr="002F781D">
        <w:rPr>
          <w:b/>
        </w:rPr>
        <w:t xml:space="preserve">nebude </w:t>
      </w:r>
      <w:r w:rsidR="003603EF" w:rsidRPr="002F781D">
        <w:rPr>
          <w:b/>
        </w:rPr>
        <w:t xml:space="preserve">zadavatelem </w:t>
      </w:r>
      <w:r w:rsidRPr="002F781D">
        <w:rPr>
          <w:b/>
        </w:rPr>
        <w:t>hodnocena</w:t>
      </w:r>
      <w:r w:rsidRPr="002F781D">
        <w:t>.</w:t>
      </w:r>
    </w:p>
    <w:p w14:paraId="0E598E88" w14:textId="1BD6F02D" w:rsidR="00181AA2" w:rsidRPr="002F781D" w:rsidRDefault="003603EF" w:rsidP="000401B4">
      <w:pPr>
        <w:pStyle w:val="Odstavecseseznamem"/>
        <w:numPr>
          <w:ilvl w:val="1"/>
          <w:numId w:val="12"/>
        </w:numPr>
        <w:ind w:left="709" w:hanging="567"/>
        <w:jc w:val="both"/>
        <w:rPr>
          <w:b/>
          <w:bCs/>
        </w:rPr>
      </w:pPr>
      <w:r w:rsidRPr="002F781D">
        <w:t xml:space="preserve">Zadavatel </w:t>
      </w:r>
      <w:r w:rsidR="00181AA2" w:rsidRPr="002F781D">
        <w:t>si vyhrazuje právo:</w:t>
      </w:r>
    </w:p>
    <w:p w14:paraId="1CBD9D66" w14:textId="13F8F411" w:rsidR="00181AA2" w:rsidRPr="002F781D" w:rsidRDefault="00181AA2" w:rsidP="000401B4">
      <w:pPr>
        <w:numPr>
          <w:ilvl w:val="2"/>
          <w:numId w:val="13"/>
        </w:numPr>
        <w:spacing w:after="120"/>
        <w:jc w:val="both"/>
        <w:rPr>
          <w:b/>
          <w:bCs/>
        </w:rPr>
      </w:pPr>
      <w:r w:rsidRPr="002F781D">
        <w:t>v průběhu lhůty pro podání nabídek měnit, doplnit či upřesnit zadávací podmínky</w:t>
      </w:r>
      <w:r w:rsidR="00F96DB7" w:rsidRPr="002F781D">
        <w:t>;</w:t>
      </w:r>
    </w:p>
    <w:p w14:paraId="314C090E" w14:textId="50B7FEED" w:rsidR="00181AA2" w:rsidRPr="002F781D" w:rsidRDefault="00795C4D" w:rsidP="000401B4">
      <w:pPr>
        <w:numPr>
          <w:ilvl w:val="2"/>
          <w:numId w:val="13"/>
        </w:numPr>
        <w:spacing w:after="120"/>
        <w:jc w:val="both"/>
      </w:pPr>
      <w:r w:rsidRPr="002F781D">
        <w:t xml:space="preserve">výběrové </w:t>
      </w:r>
      <w:r w:rsidR="00181AA2" w:rsidRPr="002F781D">
        <w:t xml:space="preserve">řízení kdykoliv zrušit (nejpozději však do okamžiku uzavření smlouvy), </w:t>
      </w:r>
      <w:r w:rsidR="00DD0666" w:rsidRPr="002F781D">
        <w:t xml:space="preserve">zejm. </w:t>
      </w:r>
      <w:r w:rsidR="00181AA2" w:rsidRPr="002F781D">
        <w:t>pokud:</w:t>
      </w:r>
    </w:p>
    <w:p w14:paraId="4D041E00" w14:textId="77777777" w:rsidR="00181AA2" w:rsidRPr="002F781D" w:rsidRDefault="00181AA2" w:rsidP="000401B4">
      <w:pPr>
        <w:numPr>
          <w:ilvl w:val="3"/>
          <w:numId w:val="13"/>
        </w:numPr>
        <w:spacing w:after="120"/>
        <w:jc w:val="both"/>
      </w:pPr>
      <w:r w:rsidRPr="002F781D">
        <w:lastRenderedPageBreak/>
        <w:t>v průběhu výběrového řízení se vyskytly důvody hodné zvláštního zřetele, pro které nelze na zadavateli požadovat, aby ve výběrovém řízení pokračoval, nebo</w:t>
      </w:r>
    </w:p>
    <w:p w14:paraId="31FFBD84" w14:textId="77777777" w:rsidR="00181AA2" w:rsidRPr="002F781D" w:rsidRDefault="00181AA2" w:rsidP="000401B4">
      <w:pPr>
        <w:numPr>
          <w:ilvl w:val="3"/>
          <w:numId w:val="13"/>
        </w:numPr>
        <w:spacing w:after="120"/>
        <w:jc w:val="both"/>
      </w:pPr>
      <w:r w:rsidRPr="002F781D">
        <w:t>vybraný dodavatel, popřípadě dodavatel druhý v pořadí, odmítl uzavřít smlouvu nebo neposkytl zadavateli k jejímu uzavření dostatečnou součinnost, nebo</w:t>
      </w:r>
    </w:p>
    <w:p w14:paraId="3B1650C9" w14:textId="3DBBA044" w:rsidR="00181AA2" w:rsidRPr="002F781D" w:rsidRDefault="00181AA2" w:rsidP="000401B4">
      <w:pPr>
        <w:numPr>
          <w:ilvl w:val="3"/>
          <w:numId w:val="13"/>
        </w:numPr>
        <w:spacing w:after="120"/>
        <w:jc w:val="both"/>
      </w:pPr>
      <w:r w:rsidRPr="002F781D">
        <w:t>zadavateli byla p</w:t>
      </w:r>
      <w:r w:rsidR="00F96DB7" w:rsidRPr="002F781D">
        <w:t>odána pouze jedna úplná nabídka</w:t>
      </w:r>
      <w:r w:rsidR="00D0339B" w:rsidRPr="002F781D">
        <w:t>.</w:t>
      </w:r>
      <w:r w:rsidRPr="002F781D">
        <w:rPr>
          <w:b/>
          <w:bCs/>
        </w:rPr>
        <w:t xml:space="preserve"> </w:t>
      </w:r>
    </w:p>
    <w:p w14:paraId="6B44E2DA" w14:textId="434CAA74" w:rsidR="00D0339B" w:rsidRPr="002F781D" w:rsidRDefault="00DD0666" w:rsidP="000401B4">
      <w:pPr>
        <w:numPr>
          <w:ilvl w:val="2"/>
          <w:numId w:val="6"/>
        </w:numPr>
        <w:spacing w:after="120"/>
      </w:pPr>
      <w:r w:rsidRPr="002F781D">
        <w:t>nevybrat žádnou nabídku, a to i bez uvedení důvodu,</w:t>
      </w:r>
    </w:p>
    <w:p w14:paraId="6F34035F" w14:textId="2E5B09FE" w:rsidR="00DD0666" w:rsidRPr="002F781D" w:rsidRDefault="00DD0666" w:rsidP="000401B4">
      <w:pPr>
        <w:numPr>
          <w:ilvl w:val="2"/>
          <w:numId w:val="6"/>
        </w:numPr>
        <w:spacing w:after="120"/>
      </w:pPr>
      <w:r w:rsidRPr="002F781D">
        <w:t>neuzavřít smlouvu na plnění veřejné zakázky s žádným uchazečem,</w:t>
      </w:r>
    </w:p>
    <w:p w14:paraId="759B1A0E" w14:textId="1C6974CB" w:rsidR="00DD0666" w:rsidRPr="002F781D" w:rsidRDefault="00DD0666" w:rsidP="000401B4">
      <w:pPr>
        <w:numPr>
          <w:ilvl w:val="2"/>
          <w:numId w:val="6"/>
        </w:numPr>
        <w:spacing w:after="120"/>
        <w:rPr>
          <w:b/>
          <w:bCs/>
        </w:rPr>
      </w:pPr>
      <w:r w:rsidRPr="002F781D">
        <w:t xml:space="preserve">realizovat předmět plnění veřejné zakázky </w:t>
      </w:r>
      <w:r w:rsidR="0089686E" w:rsidRPr="002F781D">
        <w:t xml:space="preserve">případně </w:t>
      </w:r>
      <w:r w:rsidRPr="002F781D">
        <w:t>jen v části.</w:t>
      </w:r>
    </w:p>
    <w:p w14:paraId="6A033C83" w14:textId="231988DB" w:rsidR="00181AA2" w:rsidRPr="002F781D" w:rsidRDefault="00181AA2" w:rsidP="009F3C01">
      <w:pPr>
        <w:rPr>
          <w:b/>
          <w:sz w:val="12"/>
          <w:szCs w:val="12"/>
        </w:rPr>
      </w:pPr>
    </w:p>
    <w:p w14:paraId="7D4BBAB0" w14:textId="77777777" w:rsidR="009F3C01" w:rsidRPr="002F781D" w:rsidRDefault="00181AA2" w:rsidP="000401B4">
      <w:pPr>
        <w:pStyle w:val="Odstavecseseznamem"/>
        <w:numPr>
          <w:ilvl w:val="1"/>
          <w:numId w:val="12"/>
        </w:numPr>
        <w:ind w:left="709" w:hanging="567"/>
        <w:jc w:val="both"/>
        <w:rPr>
          <w:b/>
          <w:bCs/>
        </w:rPr>
      </w:pPr>
      <w:r w:rsidRPr="002F781D">
        <w:t>Dodavatelé jsou oprávněni požadovat po zadavateli dodatečné informace, a to písemnou formou</w:t>
      </w:r>
      <w:r w:rsidR="009F3C01" w:rsidRPr="002F781D">
        <w:t xml:space="preserve"> prostřednictvím e-mailu nebo nástroje E-ZAK</w:t>
      </w:r>
      <w:r w:rsidRPr="002F781D">
        <w:t xml:space="preserve">). Žádosti o dodatečné informace </w:t>
      </w:r>
      <w:r w:rsidR="009F3C01" w:rsidRPr="002F781D">
        <w:t xml:space="preserve">prostřednictvím e-mailu </w:t>
      </w:r>
      <w:r w:rsidRPr="002F781D">
        <w:t>je třeba adresovat kontaktní</w:t>
      </w:r>
      <w:r w:rsidR="00A62EF7" w:rsidRPr="002F781D">
        <w:t>m</w:t>
      </w:r>
      <w:r w:rsidRPr="002F781D">
        <w:t xml:space="preserve"> osob</w:t>
      </w:r>
      <w:r w:rsidR="00A62EF7" w:rsidRPr="002F781D">
        <w:t>ám</w:t>
      </w:r>
      <w:r w:rsidRPr="002F781D">
        <w:t xml:space="preserve">: </w:t>
      </w:r>
      <w:r w:rsidR="00D177B7" w:rsidRPr="002F781D">
        <w:t xml:space="preserve">Mgr. </w:t>
      </w:r>
      <w:r w:rsidR="00A62EF7" w:rsidRPr="002F781D">
        <w:t>Jan Zvara</w:t>
      </w:r>
      <w:r w:rsidR="00D177B7" w:rsidRPr="002F781D">
        <w:t>, Ph.D. (</w:t>
      </w:r>
      <w:hyperlink r:id="rId18" w:history="1">
        <w:r w:rsidR="00A62EF7" w:rsidRPr="002F781D">
          <w:rPr>
            <w:rStyle w:val="Hypertextovodkaz"/>
          </w:rPr>
          <w:t>zvara.jan@brno.cz</w:t>
        </w:r>
      </w:hyperlink>
      <w:r w:rsidR="00D177B7" w:rsidRPr="002F781D">
        <w:t>)</w:t>
      </w:r>
      <w:r w:rsidR="00A62EF7" w:rsidRPr="002F781D">
        <w:t>, Mgr. Martin Dvořák (</w:t>
      </w:r>
      <w:hyperlink r:id="rId19" w:history="1">
        <w:r w:rsidR="00A62EF7" w:rsidRPr="002F781D">
          <w:rPr>
            <w:rStyle w:val="Hypertextovodkaz"/>
          </w:rPr>
          <w:t>dvorak.martin@brno.cz</w:t>
        </w:r>
      </w:hyperlink>
      <w:r w:rsidR="00A62EF7" w:rsidRPr="002F781D">
        <w:t>)</w:t>
      </w:r>
      <w:r w:rsidR="00D177B7" w:rsidRPr="002F781D">
        <w:t>.</w:t>
      </w:r>
      <w:r w:rsidR="00F96DB7" w:rsidRPr="002F781D">
        <w:t xml:space="preserve"> </w:t>
      </w:r>
      <w:r w:rsidRPr="002F781D">
        <w:t xml:space="preserve">Žádosti </w:t>
      </w:r>
      <w:r w:rsidR="009F3C01" w:rsidRPr="002F781D">
        <w:br/>
      </w:r>
      <w:r w:rsidRPr="002F781D">
        <w:t xml:space="preserve">o dodatečné informace musí být zadavateli doručeny ve lhůtě nejpozději 4 pracovní dny před uplynutím lhůty pro podání nabídek. Dodatečné informace, včetně přesného znění požadavku, odešle zadavatel současně všem </w:t>
      </w:r>
      <w:r w:rsidR="00D0339B" w:rsidRPr="002F781D">
        <w:t xml:space="preserve">vyzvaným </w:t>
      </w:r>
      <w:r w:rsidR="000854F3" w:rsidRPr="002F781D">
        <w:t xml:space="preserve">dodavatelům </w:t>
      </w:r>
      <w:r w:rsidR="00D0339B" w:rsidRPr="002F781D">
        <w:t xml:space="preserve">a dalším </w:t>
      </w:r>
      <w:r w:rsidRPr="002F781D">
        <w:t xml:space="preserve">zadavateli známým </w:t>
      </w:r>
      <w:r w:rsidR="000854F3" w:rsidRPr="002F781D">
        <w:t>dodavatelům</w:t>
      </w:r>
      <w:r w:rsidR="00D0339B" w:rsidRPr="002F781D">
        <w:t>, a zároveň je zveřejní na profilu zadavatele</w:t>
      </w:r>
      <w:r w:rsidR="00081C51" w:rsidRPr="002F781D">
        <w:t>, do 2 pracovních dnů</w:t>
      </w:r>
      <w:r w:rsidRPr="002F781D">
        <w:t>. Zadavatel může poskytnout dodavatelům dodatečné informace k zadávacím podmínkám i bez předchozí žádosti uchazeče.</w:t>
      </w:r>
    </w:p>
    <w:p w14:paraId="5EF9E5BD" w14:textId="77777777" w:rsidR="009F3C01" w:rsidRPr="002F781D" w:rsidRDefault="009F3C01" w:rsidP="009F3C01">
      <w:pPr>
        <w:pStyle w:val="Odstavecseseznamem"/>
        <w:ind w:left="709"/>
        <w:jc w:val="both"/>
        <w:rPr>
          <w:b/>
          <w:bCs/>
          <w:sz w:val="12"/>
          <w:szCs w:val="12"/>
        </w:rPr>
      </w:pPr>
    </w:p>
    <w:p w14:paraId="01D7AA3D" w14:textId="77777777" w:rsidR="009F3C01" w:rsidRPr="002F781D" w:rsidRDefault="000E36F2" w:rsidP="000401B4">
      <w:pPr>
        <w:pStyle w:val="Odstavecseseznamem"/>
        <w:numPr>
          <w:ilvl w:val="1"/>
          <w:numId w:val="12"/>
        </w:numPr>
        <w:ind w:left="709" w:hanging="567"/>
        <w:jc w:val="both"/>
        <w:rPr>
          <w:b/>
          <w:bCs/>
        </w:rPr>
      </w:pPr>
      <w:r w:rsidRPr="002F781D">
        <w:t>Zadavatel může ověřovat věrohodnost poskytnutých údajů a dokladů a může si je opatřovat také sám, a to například u třetích osob či z veřejně dostupných zdrojů.   Uchazeč je povinen mu v tomto ohledu poskytnout veškerou potřebnou součinnost.</w:t>
      </w:r>
    </w:p>
    <w:p w14:paraId="49AAA420" w14:textId="77777777" w:rsidR="009F3C01" w:rsidRPr="002F781D" w:rsidRDefault="009F3C01" w:rsidP="009F3C01">
      <w:pPr>
        <w:pStyle w:val="Odstavecseseznamem"/>
        <w:rPr>
          <w:sz w:val="12"/>
          <w:szCs w:val="12"/>
        </w:rPr>
      </w:pPr>
    </w:p>
    <w:p w14:paraId="3DA7D17D" w14:textId="1190FA1B" w:rsidR="0089686E" w:rsidRPr="002F781D" w:rsidRDefault="0089686E" w:rsidP="000401B4">
      <w:pPr>
        <w:pStyle w:val="Odstavecseseznamem"/>
        <w:numPr>
          <w:ilvl w:val="1"/>
          <w:numId w:val="12"/>
        </w:numPr>
        <w:ind w:left="709" w:hanging="567"/>
        <w:jc w:val="both"/>
        <w:rPr>
          <w:b/>
          <w:bCs/>
        </w:rPr>
      </w:pPr>
      <w:r w:rsidRPr="002F781D">
        <w:t>Zadavatel si vyhrazuje právo před podpisem smlouvy s vybraným dodavatelem jednat o podmínkách plnění veřejné zakázky, a to zejména za účelem zlepšení podmínek plnění předmětu veřejné zakázky pro zadavatele, a to včetně úpravy textu smlouvy, pokud to bude považovat za potřebné.</w:t>
      </w:r>
    </w:p>
    <w:p w14:paraId="18C8C5CB" w14:textId="77777777" w:rsidR="00B7545E" w:rsidRPr="002F781D" w:rsidRDefault="00B7545E" w:rsidP="00181AA2"/>
    <w:p w14:paraId="6958B1B8" w14:textId="6D52D20E" w:rsidR="00181AA2" w:rsidRPr="002F781D" w:rsidRDefault="00181AA2" w:rsidP="00181AA2">
      <w:r w:rsidRPr="004F1DCF">
        <w:t xml:space="preserve">V Brně dne </w:t>
      </w:r>
      <w:r w:rsidR="004F1DCF" w:rsidRPr="004F1DCF">
        <w:t>30. 9. 2020</w:t>
      </w:r>
    </w:p>
    <w:p w14:paraId="0AA6C9CC" w14:textId="77777777" w:rsidR="005C63BB" w:rsidRDefault="005C63BB" w:rsidP="00181AA2"/>
    <w:p w14:paraId="5B8678C4" w14:textId="77777777" w:rsidR="00B7545E" w:rsidRPr="00AF2A26" w:rsidRDefault="00B7545E" w:rsidP="00181AA2"/>
    <w:p w14:paraId="50D3EF9D" w14:textId="77777777" w:rsidR="00181AA2" w:rsidRDefault="00181AA2" w:rsidP="00181AA2">
      <w:pPr>
        <w:ind w:left="5400" w:firstLine="132"/>
        <w:jc w:val="center"/>
        <w:rPr>
          <w:sz w:val="20"/>
          <w:szCs w:val="20"/>
        </w:rPr>
      </w:pPr>
      <w:bookmarkStart w:id="6" w:name="_Hlk531956934"/>
      <w:r>
        <w:t>……………………………….</w:t>
      </w:r>
    </w:p>
    <w:bookmarkEnd w:id="6"/>
    <w:p w14:paraId="1BE690E7" w14:textId="6FAE4265" w:rsidR="00181AA2" w:rsidRDefault="00805731" w:rsidP="00181AA2">
      <w:pPr>
        <w:ind w:left="5532" w:firstLine="132"/>
        <w:jc w:val="center"/>
      </w:pPr>
      <w:r w:rsidRPr="004F1DCF">
        <w:t>Mgr. František Kubeš, Ph.D.</w:t>
      </w:r>
      <w:r w:rsidR="000854F3" w:rsidRPr="004F1DCF" w:rsidDel="000854F3">
        <w:t xml:space="preserve"> </w:t>
      </w:r>
      <w:r w:rsidR="00181AA2" w:rsidRPr="004F1DCF">
        <w:t xml:space="preserve">vedoucí Odboru </w:t>
      </w:r>
      <w:r w:rsidR="002B4D79" w:rsidRPr="004F1DCF">
        <w:t>strategického rozvoje a spolupráce</w:t>
      </w:r>
      <w:r>
        <w:t xml:space="preserve"> </w:t>
      </w:r>
    </w:p>
    <w:p w14:paraId="7751BB9E" w14:textId="77777777" w:rsidR="00B7545E" w:rsidRDefault="00B7545E" w:rsidP="00181AA2">
      <w:pPr>
        <w:tabs>
          <w:tab w:val="left" w:pos="1701"/>
          <w:tab w:val="left" w:pos="6237"/>
          <w:tab w:val="left" w:pos="7513"/>
        </w:tabs>
        <w:overflowPunct w:val="0"/>
        <w:autoSpaceDE w:val="0"/>
        <w:autoSpaceDN w:val="0"/>
        <w:adjustRightInd w:val="0"/>
        <w:rPr>
          <w:b/>
        </w:rPr>
      </w:pPr>
    </w:p>
    <w:p w14:paraId="7C1A8A0E" w14:textId="77777777" w:rsidR="00181AA2" w:rsidRPr="00AF2A26" w:rsidRDefault="00181AA2" w:rsidP="00181AA2">
      <w:pPr>
        <w:tabs>
          <w:tab w:val="left" w:pos="1701"/>
          <w:tab w:val="left" w:pos="6237"/>
          <w:tab w:val="left" w:pos="7513"/>
        </w:tabs>
        <w:overflowPunct w:val="0"/>
        <w:autoSpaceDE w:val="0"/>
        <w:autoSpaceDN w:val="0"/>
        <w:adjustRightInd w:val="0"/>
        <w:rPr>
          <w:b/>
        </w:rPr>
      </w:pPr>
      <w:r w:rsidRPr="00AF2A26">
        <w:rPr>
          <w:b/>
        </w:rPr>
        <w:t>2 přílohy</w:t>
      </w:r>
    </w:p>
    <w:p w14:paraId="212F318D" w14:textId="77777777" w:rsidR="00181AA2" w:rsidRPr="00306641" w:rsidRDefault="00181AA2" w:rsidP="00181AA2">
      <w:pPr>
        <w:overflowPunct w:val="0"/>
        <w:autoSpaceDE w:val="0"/>
        <w:autoSpaceDN w:val="0"/>
        <w:adjustRightInd w:val="0"/>
      </w:pPr>
      <w:r w:rsidRPr="00AF2A26">
        <w:t>Příloha č. 1:</w:t>
      </w:r>
      <w:r w:rsidRPr="00AF2A26">
        <w:tab/>
        <w:t>Krycí list nabídky</w:t>
      </w:r>
    </w:p>
    <w:p w14:paraId="5B62C7F3" w14:textId="77777777" w:rsidR="002F781D" w:rsidRDefault="00181AA2" w:rsidP="00181AA2">
      <w:pPr>
        <w:ind w:left="1418" w:hanging="1418"/>
        <w:sectPr w:rsidR="002F781D" w:rsidSect="00672A06">
          <w:headerReference w:type="default" r:id="rId20"/>
          <w:footerReference w:type="even" r:id="rId21"/>
          <w:footerReference w:type="default" r:id="rId22"/>
          <w:headerReference w:type="first" r:id="rId23"/>
          <w:pgSz w:w="11906" w:h="16838"/>
          <w:pgMar w:top="1418" w:right="1418" w:bottom="1418" w:left="1418" w:header="709" w:footer="709" w:gutter="0"/>
          <w:cols w:space="708"/>
          <w:titlePg/>
          <w:docGrid w:linePitch="360"/>
        </w:sectPr>
      </w:pPr>
      <w:r w:rsidRPr="00306641">
        <w:t>Příloha č. 2:</w:t>
      </w:r>
      <w:r w:rsidRPr="00306641">
        <w:tab/>
        <w:t>Obchodní podmínky – vzor smlouvy (včetně příloh</w:t>
      </w:r>
      <w:r w:rsidR="005924F7">
        <w:t>y</w:t>
      </w:r>
      <w:r w:rsidRPr="00306641">
        <w:t>)</w:t>
      </w:r>
    </w:p>
    <w:p w14:paraId="5C9D6E6B" w14:textId="77777777" w:rsidR="00181AA2" w:rsidRPr="00306641" w:rsidRDefault="00181AA2" w:rsidP="00181AA2">
      <w:pPr>
        <w:jc w:val="center"/>
        <w:rPr>
          <w:bCs/>
        </w:rPr>
      </w:pPr>
      <w:r w:rsidRPr="00306641">
        <w:rPr>
          <w:b/>
          <w:bCs/>
        </w:rPr>
        <w:lastRenderedPageBreak/>
        <w:t>KRYCÍ LIST NABÍDKY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7"/>
        <w:gridCol w:w="1701"/>
        <w:gridCol w:w="1686"/>
        <w:gridCol w:w="1684"/>
        <w:gridCol w:w="1692"/>
      </w:tblGrid>
      <w:tr w:rsidR="00181AA2" w:rsidRPr="00AF2A26" w14:paraId="677D76ED" w14:textId="77777777" w:rsidTr="00215A78">
        <w:trPr>
          <w:trHeight w:hRule="exact" w:val="891"/>
        </w:trPr>
        <w:tc>
          <w:tcPr>
            <w:tcW w:w="2297" w:type="dxa"/>
            <w:tcBorders>
              <w:top w:val="single" w:sz="4" w:space="0" w:color="auto"/>
              <w:left w:val="single" w:sz="4" w:space="0" w:color="auto"/>
              <w:bottom w:val="single" w:sz="4" w:space="0" w:color="auto"/>
              <w:right w:val="single" w:sz="4" w:space="0" w:color="auto"/>
            </w:tcBorders>
            <w:vAlign w:val="center"/>
          </w:tcPr>
          <w:p w14:paraId="1EA1EDFE" w14:textId="77777777" w:rsidR="00181AA2" w:rsidRPr="00AF2A26" w:rsidRDefault="00181AA2" w:rsidP="00AA21E4">
            <w:pPr>
              <w:rPr>
                <w:b/>
              </w:rPr>
            </w:pPr>
            <w:r w:rsidRPr="00AF2A26">
              <w:rPr>
                <w:b/>
              </w:rPr>
              <w:t>Název veřejné zakázky:</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1CD66215" w14:textId="01D359C1" w:rsidR="00181AA2" w:rsidRPr="004C5FC7" w:rsidRDefault="002B4D79" w:rsidP="002F781D">
            <w:pPr>
              <w:jc w:val="center"/>
              <w:rPr>
                <w:b/>
              </w:rPr>
            </w:pPr>
            <w:r w:rsidRPr="40087511">
              <w:rPr>
                <w:b/>
                <w:bCs/>
              </w:rPr>
              <w:t>„</w:t>
            </w:r>
            <w:r>
              <w:rPr>
                <w:b/>
                <w:bCs/>
              </w:rPr>
              <w:t>Pohyb obyvatel v Brně dle dat mobilního operátora</w:t>
            </w:r>
            <w:r w:rsidRPr="40087511">
              <w:rPr>
                <w:b/>
                <w:bCs/>
              </w:rPr>
              <w:t>“</w:t>
            </w:r>
          </w:p>
        </w:tc>
      </w:tr>
      <w:tr w:rsidR="00181AA2" w:rsidRPr="00AF2A26" w14:paraId="157AF480" w14:textId="77777777" w:rsidTr="00215A78">
        <w:trPr>
          <w:trHeight w:val="342"/>
        </w:trPr>
        <w:tc>
          <w:tcPr>
            <w:tcW w:w="9060" w:type="dxa"/>
            <w:gridSpan w:val="5"/>
            <w:tcBorders>
              <w:top w:val="single" w:sz="4" w:space="0" w:color="auto"/>
              <w:left w:val="single" w:sz="4" w:space="0" w:color="auto"/>
              <w:bottom w:val="single" w:sz="4" w:space="0" w:color="auto"/>
              <w:right w:val="single" w:sz="4" w:space="0" w:color="auto"/>
            </w:tcBorders>
            <w:vAlign w:val="center"/>
          </w:tcPr>
          <w:p w14:paraId="53483DE2" w14:textId="77777777" w:rsidR="00181AA2" w:rsidRPr="004C5FC7" w:rsidRDefault="00181AA2" w:rsidP="00AA21E4">
            <w:r w:rsidRPr="004C5FC7">
              <w:rPr>
                <w:b/>
              </w:rPr>
              <w:t>Dodavatel:</w:t>
            </w:r>
          </w:p>
        </w:tc>
      </w:tr>
      <w:tr w:rsidR="00181AA2" w:rsidRPr="00AF2A26" w14:paraId="50C0AD3A" w14:textId="77777777" w:rsidTr="00215A78">
        <w:trPr>
          <w:trHeight w:val="406"/>
        </w:trPr>
        <w:tc>
          <w:tcPr>
            <w:tcW w:w="2297" w:type="dxa"/>
            <w:tcBorders>
              <w:top w:val="single" w:sz="4" w:space="0" w:color="auto"/>
              <w:left w:val="single" w:sz="4" w:space="0" w:color="auto"/>
              <w:bottom w:val="single" w:sz="4" w:space="0" w:color="auto"/>
              <w:right w:val="single" w:sz="4" w:space="0" w:color="auto"/>
            </w:tcBorders>
            <w:vAlign w:val="center"/>
          </w:tcPr>
          <w:p w14:paraId="29028D78" w14:textId="77777777" w:rsidR="00181AA2" w:rsidRPr="00AF2A26" w:rsidRDefault="00181AA2" w:rsidP="00AA21E4">
            <w:r w:rsidRPr="00AF2A26">
              <w:t>Obchodní firma/ název/jméno a příjmení</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61FA0C8F" w14:textId="77777777" w:rsidR="00181AA2" w:rsidRPr="004C5FC7" w:rsidRDefault="00181AA2" w:rsidP="00AA21E4"/>
        </w:tc>
      </w:tr>
      <w:tr w:rsidR="00181AA2" w:rsidRPr="00AF2A26" w14:paraId="00F3B819" w14:textId="77777777" w:rsidTr="00215A78">
        <w:trPr>
          <w:trHeight w:val="526"/>
        </w:trPr>
        <w:tc>
          <w:tcPr>
            <w:tcW w:w="2297" w:type="dxa"/>
            <w:tcBorders>
              <w:top w:val="single" w:sz="4" w:space="0" w:color="auto"/>
              <w:left w:val="single" w:sz="4" w:space="0" w:color="auto"/>
              <w:bottom w:val="single" w:sz="4" w:space="0" w:color="auto"/>
              <w:right w:val="single" w:sz="4" w:space="0" w:color="auto"/>
            </w:tcBorders>
            <w:vAlign w:val="center"/>
          </w:tcPr>
          <w:p w14:paraId="0AC27DC3" w14:textId="007D5295" w:rsidR="00181AA2" w:rsidRPr="00AF2A26" w:rsidRDefault="00181AA2" w:rsidP="00AA21E4">
            <w:r w:rsidRPr="00AF2A26">
              <w:t>Sídlo</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625F66B2" w14:textId="77777777" w:rsidR="00181AA2" w:rsidRPr="004C5FC7" w:rsidRDefault="00181AA2" w:rsidP="00AA21E4"/>
        </w:tc>
      </w:tr>
      <w:tr w:rsidR="00181AA2" w:rsidRPr="00AF2A26" w14:paraId="37DFC5F0" w14:textId="77777777" w:rsidTr="00215A78">
        <w:trPr>
          <w:trHeight w:val="346"/>
        </w:trPr>
        <w:tc>
          <w:tcPr>
            <w:tcW w:w="2297" w:type="dxa"/>
            <w:tcBorders>
              <w:top w:val="single" w:sz="4" w:space="0" w:color="auto"/>
              <w:left w:val="single" w:sz="4" w:space="0" w:color="auto"/>
              <w:bottom w:val="single" w:sz="4" w:space="0" w:color="auto"/>
              <w:right w:val="single" w:sz="4" w:space="0" w:color="auto"/>
            </w:tcBorders>
            <w:vAlign w:val="center"/>
          </w:tcPr>
          <w:p w14:paraId="20EA4D1C" w14:textId="77777777" w:rsidR="00181AA2" w:rsidRPr="00AF2A26" w:rsidRDefault="00181AA2" w:rsidP="00AA21E4">
            <w:r w:rsidRPr="00AF2A26">
              <w:t>Právní forma</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579CDD39" w14:textId="77777777" w:rsidR="00181AA2" w:rsidRPr="004C5FC7" w:rsidRDefault="00181AA2" w:rsidP="00AA21E4"/>
        </w:tc>
      </w:tr>
      <w:tr w:rsidR="00181AA2" w:rsidRPr="00AF2A26" w14:paraId="70302E47" w14:textId="77777777" w:rsidTr="00215A78">
        <w:trPr>
          <w:trHeight w:val="346"/>
        </w:trPr>
        <w:tc>
          <w:tcPr>
            <w:tcW w:w="2297" w:type="dxa"/>
            <w:tcBorders>
              <w:top w:val="single" w:sz="4" w:space="0" w:color="auto"/>
              <w:left w:val="single" w:sz="4" w:space="0" w:color="auto"/>
              <w:bottom w:val="single" w:sz="4" w:space="0" w:color="auto"/>
              <w:right w:val="single" w:sz="4" w:space="0" w:color="auto"/>
            </w:tcBorders>
            <w:vAlign w:val="center"/>
          </w:tcPr>
          <w:p w14:paraId="1EB94B7A" w14:textId="77777777" w:rsidR="00181AA2" w:rsidRPr="00AF2A26" w:rsidRDefault="00181AA2" w:rsidP="00AA21E4">
            <w:r w:rsidRPr="00AF2A26">
              <w:t>Obchodní rejstřík/živnostenský rejstřík/jiná evidence</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45913F24" w14:textId="77777777" w:rsidR="00181AA2" w:rsidRPr="004C5FC7" w:rsidRDefault="002D4299" w:rsidP="00AA21E4">
            <w:r w:rsidRPr="004C5FC7">
              <w:rPr>
                <w:i/>
              </w:rPr>
              <w:t>zde uvést i hypertextový odkaz na veřejnou část dané evidence</w:t>
            </w:r>
          </w:p>
        </w:tc>
      </w:tr>
      <w:tr w:rsidR="00181AA2" w:rsidRPr="00AF2A26" w14:paraId="3A810E85" w14:textId="77777777" w:rsidTr="00215A78">
        <w:trPr>
          <w:trHeight w:val="346"/>
        </w:trPr>
        <w:tc>
          <w:tcPr>
            <w:tcW w:w="2297" w:type="dxa"/>
            <w:tcBorders>
              <w:top w:val="single" w:sz="4" w:space="0" w:color="auto"/>
              <w:left w:val="single" w:sz="4" w:space="0" w:color="auto"/>
              <w:bottom w:val="single" w:sz="4" w:space="0" w:color="auto"/>
              <w:right w:val="single" w:sz="4" w:space="0" w:color="auto"/>
            </w:tcBorders>
            <w:vAlign w:val="center"/>
          </w:tcPr>
          <w:p w14:paraId="036C50B5" w14:textId="77777777" w:rsidR="00181AA2" w:rsidRPr="00AF2A26" w:rsidRDefault="00181AA2" w:rsidP="00AA21E4">
            <w:r w:rsidRPr="00AF2A26">
              <w:t>IČ</w:t>
            </w:r>
            <w:r w:rsidR="002D4299">
              <w:t>O</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6D60ED6B" w14:textId="77777777" w:rsidR="00181AA2" w:rsidRPr="004C5FC7" w:rsidRDefault="00181AA2" w:rsidP="00AA21E4"/>
        </w:tc>
      </w:tr>
      <w:tr w:rsidR="00181AA2" w:rsidRPr="00AF2A26" w14:paraId="56B9CCD4" w14:textId="77777777" w:rsidTr="00215A78">
        <w:trPr>
          <w:trHeight w:val="346"/>
        </w:trPr>
        <w:tc>
          <w:tcPr>
            <w:tcW w:w="2297" w:type="dxa"/>
            <w:tcBorders>
              <w:top w:val="single" w:sz="4" w:space="0" w:color="auto"/>
              <w:left w:val="single" w:sz="4" w:space="0" w:color="auto"/>
              <w:bottom w:val="single" w:sz="4" w:space="0" w:color="auto"/>
              <w:right w:val="single" w:sz="4" w:space="0" w:color="auto"/>
            </w:tcBorders>
            <w:vAlign w:val="center"/>
          </w:tcPr>
          <w:p w14:paraId="0416C67B" w14:textId="77777777" w:rsidR="00181AA2" w:rsidRPr="00AF2A26" w:rsidRDefault="00181AA2" w:rsidP="00AA21E4">
            <w:r w:rsidRPr="00AF2A26">
              <w:t>DIČ</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78C91F11" w14:textId="77777777" w:rsidR="00181AA2" w:rsidRPr="004C5FC7" w:rsidRDefault="00181AA2" w:rsidP="00AA21E4"/>
        </w:tc>
      </w:tr>
      <w:tr w:rsidR="00181AA2" w:rsidRPr="00AF2A26" w14:paraId="28E8D37E" w14:textId="77777777" w:rsidTr="00215A78">
        <w:trPr>
          <w:trHeight w:val="346"/>
        </w:trPr>
        <w:tc>
          <w:tcPr>
            <w:tcW w:w="2297" w:type="dxa"/>
            <w:tcBorders>
              <w:top w:val="single" w:sz="4" w:space="0" w:color="auto"/>
              <w:left w:val="single" w:sz="4" w:space="0" w:color="auto"/>
              <w:bottom w:val="single" w:sz="4" w:space="0" w:color="auto"/>
              <w:right w:val="single" w:sz="4" w:space="0" w:color="auto"/>
            </w:tcBorders>
            <w:vAlign w:val="center"/>
          </w:tcPr>
          <w:p w14:paraId="30F3D262" w14:textId="77777777" w:rsidR="00181AA2" w:rsidRPr="00AF2A26" w:rsidRDefault="00181AA2" w:rsidP="00AA21E4">
            <w:r w:rsidRPr="00AF2A26">
              <w:t>Je/není plátce DPH</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14DACCA0" w14:textId="77777777" w:rsidR="00181AA2" w:rsidRPr="004C5FC7" w:rsidRDefault="00181AA2" w:rsidP="00AA21E4"/>
        </w:tc>
      </w:tr>
      <w:tr w:rsidR="00181AA2" w:rsidRPr="00AF2A26" w14:paraId="1580D660" w14:textId="77777777" w:rsidTr="00215A78">
        <w:trPr>
          <w:trHeight w:val="346"/>
        </w:trPr>
        <w:tc>
          <w:tcPr>
            <w:tcW w:w="2297" w:type="dxa"/>
            <w:tcBorders>
              <w:top w:val="single" w:sz="4" w:space="0" w:color="auto"/>
              <w:left w:val="single" w:sz="4" w:space="0" w:color="auto"/>
              <w:bottom w:val="single" w:sz="4" w:space="0" w:color="auto"/>
              <w:right w:val="single" w:sz="4" w:space="0" w:color="auto"/>
            </w:tcBorders>
            <w:vAlign w:val="center"/>
          </w:tcPr>
          <w:p w14:paraId="0706598D" w14:textId="77777777" w:rsidR="00181AA2" w:rsidRPr="00AF2A26" w:rsidRDefault="00181AA2" w:rsidP="00AA21E4">
            <w:r w:rsidRPr="00AF2A26">
              <w:t>Bankovní ústav</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19A6225C" w14:textId="77777777" w:rsidR="00181AA2" w:rsidRPr="004C5FC7" w:rsidRDefault="00181AA2" w:rsidP="00AA21E4"/>
        </w:tc>
      </w:tr>
      <w:tr w:rsidR="00181AA2" w:rsidRPr="00AF2A26" w14:paraId="3A10ECAC" w14:textId="77777777" w:rsidTr="00215A78">
        <w:trPr>
          <w:trHeight w:val="346"/>
        </w:trPr>
        <w:tc>
          <w:tcPr>
            <w:tcW w:w="2297" w:type="dxa"/>
            <w:tcBorders>
              <w:top w:val="single" w:sz="4" w:space="0" w:color="auto"/>
              <w:left w:val="single" w:sz="4" w:space="0" w:color="auto"/>
              <w:bottom w:val="single" w:sz="4" w:space="0" w:color="auto"/>
              <w:right w:val="single" w:sz="4" w:space="0" w:color="auto"/>
            </w:tcBorders>
            <w:vAlign w:val="center"/>
          </w:tcPr>
          <w:p w14:paraId="0AACE823" w14:textId="77777777" w:rsidR="00181AA2" w:rsidRPr="00AF2A26" w:rsidRDefault="00181AA2" w:rsidP="00AA21E4">
            <w:r w:rsidRPr="00AF2A26">
              <w:t>Číslo účtu</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2652303A" w14:textId="77777777" w:rsidR="00181AA2" w:rsidRPr="004C5FC7" w:rsidRDefault="00181AA2" w:rsidP="00AA21E4"/>
        </w:tc>
      </w:tr>
      <w:tr w:rsidR="00181AA2" w:rsidRPr="00AF2A26" w14:paraId="03EFA3A1" w14:textId="77777777" w:rsidTr="00215A78">
        <w:trPr>
          <w:trHeight w:val="346"/>
        </w:trPr>
        <w:tc>
          <w:tcPr>
            <w:tcW w:w="2297" w:type="dxa"/>
            <w:tcBorders>
              <w:top w:val="single" w:sz="4" w:space="0" w:color="auto"/>
              <w:left w:val="single" w:sz="4" w:space="0" w:color="auto"/>
              <w:bottom w:val="single" w:sz="4" w:space="0" w:color="auto"/>
              <w:right w:val="single" w:sz="4" w:space="0" w:color="auto"/>
            </w:tcBorders>
            <w:vAlign w:val="center"/>
          </w:tcPr>
          <w:p w14:paraId="365466E4" w14:textId="77777777" w:rsidR="00181AA2" w:rsidRPr="00AF2A26" w:rsidRDefault="00181AA2" w:rsidP="00AA21E4">
            <w:r w:rsidRPr="00AF2A26">
              <w:t>Osoba oprávněná jednat za nebo jménem dodavatele, funkce</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5EFBFB96" w14:textId="77777777" w:rsidR="00181AA2" w:rsidRPr="004C5FC7" w:rsidRDefault="00181AA2" w:rsidP="00AA21E4"/>
        </w:tc>
      </w:tr>
      <w:tr w:rsidR="00181AA2" w:rsidRPr="00AF2A26" w14:paraId="50FF3BA7" w14:textId="77777777" w:rsidTr="00215A78">
        <w:trPr>
          <w:trHeight w:val="346"/>
        </w:trPr>
        <w:tc>
          <w:tcPr>
            <w:tcW w:w="2297" w:type="dxa"/>
            <w:tcBorders>
              <w:top w:val="single" w:sz="4" w:space="0" w:color="auto"/>
              <w:left w:val="single" w:sz="4" w:space="0" w:color="auto"/>
              <w:bottom w:val="single" w:sz="4" w:space="0" w:color="auto"/>
              <w:right w:val="single" w:sz="4" w:space="0" w:color="auto"/>
            </w:tcBorders>
            <w:vAlign w:val="center"/>
          </w:tcPr>
          <w:p w14:paraId="1B650DD0" w14:textId="77777777" w:rsidR="00181AA2" w:rsidRPr="00AF2A26" w:rsidRDefault="00181AA2" w:rsidP="00AA21E4">
            <w:r w:rsidRPr="00AF2A26">
              <w:t>Telefon</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0ECFB27E" w14:textId="77777777" w:rsidR="00181AA2" w:rsidRPr="004C5FC7" w:rsidRDefault="00181AA2" w:rsidP="00AA21E4"/>
        </w:tc>
      </w:tr>
      <w:tr w:rsidR="00181AA2" w:rsidRPr="00AF2A26" w14:paraId="58046E1E" w14:textId="77777777" w:rsidTr="00215A78">
        <w:trPr>
          <w:trHeight w:val="341"/>
        </w:trPr>
        <w:tc>
          <w:tcPr>
            <w:tcW w:w="2297" w:type="dxa"/>
            <w:tcBorders>
              <w:top w:val="single" w:sz="4" w:space="0" w:color="auto"/>
              <w:left w:val="single" w:sz="4" w:space="0" w:color="auto"/>
              <w:bottom w:val="single" w:sz="4" w:space="0" w:color="auto"/>
              <w:right w:val="single" w:sz="4" w:space="0" w:color="auto"/>
            </w:tcBorders>
            <w:vAlign w:val="center"/>
          </w:tcPr>
          <w:p w14:paraId="6AA05221" w14:textId="77777777" w:rsidR="00181AA2" w:rsidRPr="00AF2A26" w:rsidRDefault="00181AA2" w:rsidP="00AA21E4">
            <w:r w:rsidRPr="00AF2A26">
              <w:t>E-mail</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237B9B60" w14:textId="77777777" w:rsidR="00181AA2" w:rsidRPr="004C5FC7" w:rsidRDefault="00181AA2" w:rsidP="00AA21E4"/>
        </w:tc>
      </w:tr>
      <w:tr w:rsidR="00181AA2" w:rsidRPr="00AF2A26" w14:paraId="40802E15" w14:textId="77777777" w:rsidTr="00215A78">
        <w:trPr>
          <w:trHeight w:val="341"/>
        </w:trPr>
        <w:tc>
          <w:tcPr>
            <w:tcW w:w="2297" w:type="dxa"/>
            <w:tcBorders>
              <w:top w:val="single" w:sz="4" w:space="0" w:color="auto"/>
              <w:left w:val="single" w:sz="4" w:space="0" w:color="auto"/>
              <w:bottom w:val="single" w:sz="4" w:space="0" w:color="auto"/>
              <w:right w:val="single" w:sz="4" w:space="0" w:color="auto"/>
            </w:tcBorders>
            <w:vAlign w:val="center"/>
          </w:tcPr>
          <w:p w14:paraId="3D01503D" w14:textId="77777777" w:rsidR="00181AA2" w:rsidRPr="00AF2A26" w:rsidRDefault="00181AA2" w:rsidP="00AA21E4">
            <w:r w:rsidRPr="00AF2A26">
              <w:rPr>
                <w:b/>
                <w:i/>
              </w:rPr>
              <w:t xml:space="preserve">POKYNY PRO DODAVATELE: </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766FF7BE" w14:textId="77777777" w:rsidR="00181AA2" w:rsidRPr="004C5FC7" w:rsidRDefault="00181AA2" w:rsidP="00AA21E4">
            <w:r w:rsidRPr="004C5FC7">
              <w:rPr>
                <w:i/>
              </w:rPr>
              <w:t>při zpracování nabídky budou v případě sdružení dodavatelů uvedeny v krycím listu údaje o všech sdružených dodavatelích, a to přidáním dalších řádků tabulky ve stejné struktuře jako výše.</w:t>
            </w:r>
          </w:p>
        </w:tc>
      </w:tr>
      <w:tr w:rsidR="00181AA2" w:rsidRPr="00AF2A26" w14:paraId="651E49FF" w14:textId="77777777" w:rsidTr="00215A78">
        <w:trPr>
          <w:trHeight w:val="341"/>
        </w:trPr>
        <w:tc>
          <w:tcPr>
            <w:tcW w:w="2297" w:type="dxa"/>
            <w:tcBorders>
              <w:top w:val="single" w:sz="4" w:space="0" w:color="auto"/>
              <w:left w:val="single" w:sz="4" w:space="0" w:color="auto"/>
              <w:bottom w:val="single" w:sz="4" w:space="0" w:color="auto"/>
              <w:right w:val="single" w:sz="4" w:space="0" w:color="auto"/>
            </w:tcBorders>
            <w:vAlign w:val="center"/>
          </w:tcPr>
          <w:p w14:paraId="1074B16D" w14:textId="77777777" w:rsidR="00181AA2" w:rsidRPr="00AF2A26" w:rsidRDefault="00181AA2" w:rsidP="00AA21E4">
            <w:r w:rsidRPr="00AF2A26">
              <w:t>Osoba oprávněná jednat za ostatní účastníky sdružení</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67C7553F" w14:textId="77777777" w:rsidR="00181AA2" w:rsidRPr="004C5FC7" w:rsidRDefault="00181AA2" w:rsidP="00AA21E4"/>
        </w:tc>
      </w:tr>
      <w:tr w:rsidR="00181AA2" w:rsidRPr="00AF2A26" w14:paraId="49B24FBE" w14:textId="77777777" w:rsidTr="00215A78">
        <w:trPr>
          <w:trHeight w:val="341"/>
        </w:trPr>
        <w:tc>
          <w:tcPr>
            <w:tcW w:w="9060" w:type="dxa"/>
            <w:gridSpan w:val="5"/>
            <w:tcBorders>
              <w:top w:val="single" w:sz="4" w:space="0" w:color="auto"/>
              <w:left w:val="single" w:sz="4" w:space="0" w:color="auto"/>
              <w:bottom w:val="single" w:sz="4" w:space="0" w:color="auto"/>
              <w:right w:val="single" w:sz="4" w:space="0" w:color="auto"/>
            </w:tcBorders>
            <w:vAlign w:val="center"/>
          </w:tcPr>
          <w:p w14:paraId="56099BFE" w14:textId="77777777" w:rsidR="00181AA2" w:rsidRPr="004C5FC7" w:rsidRDefault="00181AA2" w:rsidP="00AA21E4">
            <w:r w:rsidRPr="004C5FC7">
              <w:rPr>
                <w:b/>
              </w:rPr>
              <w:t>Veřejná zakázka:</w:t>
            </w:r>
          </w:p>
        </w:tc>
      </w:tr>
      <w:tr w:rsidR="00181AA2" w:rsidRPr="00AF2A26" w14:paraId="42FD3E9B" w14:textId="77777777" w:rsidTr="00215A78">
        <w:tc>
          <w:tcPr>
            <w:tcW w:w="2297" w:type="dxa"/>
            <w:tcBorders>
              <w:top w:val="single" w:sz="4" w:space="0" w:color="auto"/>
              <w:left w:val="single" w:sz="4" w:space="0" w:color="auto"/>
              <w:bottom w:val="single" w:sz="4" w:space="0" w:color="auto"/>
              <w:right w:val="single" w:sz="4" w:space="0" w:color="auto"/>
            </w:tcBorders>
            <w:vAlign w:val="center"/>
          </w:tcPr>
          <w:p w14:paraId="58A9F826" w14:textId="77777777" w:rsidR="00181AA2" w:rsidRPr="00AF2A26" w:rsidRDefault="00181AA2" w:rsidP="00AA21E4">
            <w:pPr>
              <w:rPr>
                <w:b/>
              </w:rPr>
            </w:pPr>
            <w:r w:rsidRPr="00AF2A26">
              <w:rPr>
                <w:b/>
              </w:rPr>
              <w:t>Cenové</w:t>
            </w:r>
          </w:p>
          <w:p w14:paraId="0BA1B8A1" w14:textId="77777777" w:rsidR="00181AA2" w:rsidRPr="00AF2A26" w:rsidRDefault="00181AA2" w:rsidP="00AA21E4">
            <w:pPr>
              <w:rPr>
                <w:b/>
              </w:rPr>
            </w:pPr>
            <w:r w:rsidRPr="00AF2A26">
              <w:rPr>
                <w:b/>
              </w:rPr>
              <w:t>údaje celkem</w:t>
            </w:r>
          </w:p>
        </w:tc>
        <w:tc>
          <w:tcPr>
            <w:tcW w:w="1701" w:type="dxa"/>
            <w:tcBorders>
              <w:top w:val="single" w:sz="4" w:space="0" w:color="auto"/>
              <w:left w:val="single" w:sz="4" w:space="0" w:color="auto"/>
              <w:bottom w:val="single" w:sz="4" w:space="0" w:color="auto"/>
              <w:right w:val="single" w:sz="4" w:space="0" w:color="auto"/>
            </w:tcBorders>
            <w:vAlign w:val="center"/>
          </w:tcPr>
          <w:p w14:paraId="639BD1B2" w14:textId="13BBED7A" w:rsidR="002F781D" w:rsidRDefault="002F781D" w:rsidP="00AA21E4">
            <w:pPr>
              <w:jc w:val="center"/>
            </w:pPr>
            <w:r>
              <w:t xml:space="preserve">Nabídková </w:t>
            </w:r>
            <w:r w:rsidR="00181AA2" w:rsidRPr="004C5FC7">
              <w:t>cena</w:t>
            </w:r>
            <w:r>
              <w:t xml:space="preserve">  </w:t>
            </w:r>
          </w:p>
          <w:p w14:paraId="56349E67" w14:textId="33EC8520" w:rsidR="00181AA2" w:rsidRPr="004C5FC7" w:rsidRDefault="002F781D" w:rsidP="00AA21E4">
            <w:pPr>
              <w:jc w:val="center"/>
            </w:pPr>
            <w:r>
              <w:t>cena</w:t>
            </w:r>
            <w:r w:rsidR="00181AA2" w:rsidRPr="004C5FC7">
              <w:t xml:space="preserve"> bez DPH v Kč</w:t>
            </w:r>
          </w:p>
        </w:tc>
        <w:tc>
          <w:tcPr>
            <w:tcW w:w="1686" w:type="dxa"/>
            <w:tcBorders>
              <w:top w:val="single" w:sz="4" w:space="0" w:color="auto"/>
              <w:left w:val="single" w:sz="4" w:space="0" w:color="auto"/>
              <w:bottom w:val="single" w:sz="4" w:space="0" w:color="auto"/>
              <w:right w:val="single" w:sz="4" w:space="0" w:color="auto"/>
            </w:tcBorders>
            <w:vAlign w:val="center"/>
          </w:tcPr>
          <w:p w14:paraId="3BADABD0" w14:textId="77777777" w:rsidR="00181AA2" w:rsidRPr="004C5FC7" w:rsidRDefault="00181AA2" w:rsidP="00AA21E4">
            <w:pPr>
              <w:jc w:val="center"/>
            </w:pPr>
            <w:r w:rsidRPr="004C5FC7">
              <w:t>sazba DPH</w:t>
            </w:r>
          </w:p>
          <w:p w14:paraId="10A50E9A" w14:textId="77777777" w:rsidR="00181AA2" w:rsidRPr="004C5FC7" w:rsidRDefault="00181AA2" w:rsidP="00AA21E4">
            <w:pPr>
              <w:jc w:val="center"/>
            </w:pPr>
            <w:r w:rsidRPr="004C5FC7">
              <w:t>v %</w:t>
            </w:r>
          </w:p>
        </w:tc>
        <w:tc>
          <w:tcPr>
            <w:tcW w:w="1684" w:type="dxa"/>
            <w:tcBorders>
              <w:top w:val="single" w:sz="4" w:space="0" w:color="auto"/>
              <w:left w:val="single" w:sz="4" w:space="0" w:color="auto"/>
              <w:bottom w:val="single" w:sz="4" w:space="0" w:color="auto"/>
              <w:right w:val="single" w:sz="4" w:space="0" w:color="auto"/>
            </w:tcBorders>
            <w:vAlign w:val="center"/>
          </w:tcPr>
          <w:p w14:paraId="272DDABA" w14:textId="77777777" w:rsidR="00181AA2" w:rsidRPr="004C5FC7" w:rsidRDefault="00181AA2" w:rsidP="00AA21E4">
            <w:pPr>
              <w:jc w:val="center"/>
            </w:pPr>
            <w:r w:rsidRPr="004C5FC7">
              <w:t>výše DPH v Kč</w:t>
            </w:r>
          </w:p>
        </w:tc>
        <w:tc>
          <w:tcPr>
            <w:tcW w:w="1692" w:type="dxa"/>
            <w:tcBorders>
              <w:top w:val="single" w:sz="4" w:space="0" w:color="auto"/>
              <w:left w:val="single" w:sz="4" w:space="0" w:color="auto"/>
              <w:bottom w:val="single" w:sz="4" w:space="0" w:color="auto"/>
              <w:right w:val="single" w:sz="4" w:space="0" w:color="auto"/>
            </w:tcBorders>
            <w:vAlign w:val="center"/>
          </w:tcPr>
          <w:p w14:paraId="252CCE90" w14:textId="77777777" w:rsidR="00181AA2" w:rsidRPr="004C5FC7" w:rsidRDefault="009962EC" w:rsidP="00AA21E4">
            <w:pPr>
              <w:jc w:val="center"/>
              <w:rPr>
                <w:b/>
              </w:rPr>
            </w:pPr>
            <w:r w:rsidRPr="004C5FC7">
              <w:rPr>
                <w:b/>
              </w:rPr>
              <w:t>C</w:t>
            </w:r>
            <w:r w:rsidR="00181AA2" w:rsidRPr="004C5FC7">
              <w:rPr>
                <w:b/>
              </w:rPr>
              <w:t>ena včetně DPH</w:t>
            </w:r>
            <w:r w:rsidR="00472412" w:rsidRPr="004C5FC7">
              <w:rPr>
                <w:b/>
              </w:rPr>
              <w:t xml:space="preserve"> </w:t>
            </w:r>
            <w:r w:rsidR="00181AA2" w:rsidRPr="004C5FC7">
              <w:rPr>
                <w:b/>
              </w:rPr>
              <w:t>v Kč</w:t>
            </w:r>
          </w:p>
        </w:tc>
      </w:tr>
      <w:tr w:rsidR="00181AA2" w:rsidRPr="00AF2A26" w14:paraId="6631D49F" w14:textId="77777777" w:rsidTr="00215A78">
        <w:trPr>
          <w:trHeight w:val="375"/>
        </w:trPr>
        <w:tc>
          <w:tcPr>
            <w:tcW w:w="2297" w:type="dxa"/>
            <w:tcBorders>
              <w:top w:val="single" w:sz="4" w:space="0" w:color="auto"/>
              <w:left w:val="single" w:sz="4" w:space="0" w:color="auto"/>
              <w:bottom w:val="single" w:sz="4" w:space="0" w:color="auto"/>
              <w:right w:val="single" w:sz="4" w:space="0" w:color="auto"/>
            </w:tcBorders>
            <w:vAlign w:val="center"/>
          </w:tcPr>
          <w:p w14:paraId="0857A76A" w14:textId="77777777" w:rsidR="00181AA2" w:rsidRPr="00AF2A26" w:rsidRDefault="00181AA2" w:rsidP="00AA21E4"/>
        </w:tc>
        <w:tc>
          <w:tcPr>
            <w:tcW w:w="1701" w:type="dxa"/>
            <w:tcBorders>
              <w:top w:val="single" w:sz="4" w:space="0" w:color="auto"/>
              <w:left w:val="single" w:sz="4" w:space="0" w:color="auto"/>
              <w:bottom w:val="single" w:sz="4" w:space="0" w:color="auto"/>
              <w:right w:val="single" w:sz="4" w:space="0" w:color="auto"/>
            </w:tcBorders>
            <w:vAlign w:val="center"/>
          </w:tcPr>
          <w:p w14:paraId="7F87B77A" w14:textId="77777777" w:rsidR="00181AA2" w:rsidRDefault="00181AA2" w:rsidP="00AA21E4">
            <w:pPr>
              <w:jc w:val="center"/>
            </w:pPr>
          </w:p>
          <w:p w14:paraId="25BE3E96" w14:textId="77512866" w:rsidR="002F781D" w:rsidRPr="004C5FC7" w:rsidRDefault="002F781D" w:rsidP="00AA21E4">
            <w:pPr>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0E73D95C" w14:textId="1B5E669E" w:rsidR="00181AA2" w:rsidRPr="004C5FC7" w:rsidRDefault="00181AA2" w:rsidP="00AA21E4">
            <w:pPr>
              <w:jc w:val="center"/>
            </w:pPr>
          </w:p>
        </w:tc>
        <w:tc>
          <w:tcPr>
            <w:tcW w:w="1684" w:type="dxa"/>
            <w:tcBorders>
              <w:top w:val="single" w:sz="4" w:space="0" w:color="auto"/>
              <w:left w:val="single" w:sz="4" w:space="0" w:color="auto"/>
              <w:bottom w:val="single" w:sz="4" w:space="0" w:color="auto"/>
              <w:right w:val="single" w:sz="4" w:space="0" w:color="auto"/>
            </w:tcBorders>
            <w:vAlign w:val="center"/>
          </w:tcPr>
          <w:p w14:paraId="0D66623C" w14:textId="2900B64D" w:rsidR="00181AA2" w:rsidRPr="004C5FC7" w:rsidRDefault="00181AA2" w:rsidP="00AA21E4">
            <w:pPr>
              <w:jc w:val="center"/>
            </w:pPr>
          </w:p>
        </w:tc>
        <w:tc>
          <w:tcPr>
            <w:tcW w:w="1692" w:type="dxa"/>
            <w:tcBorders>
              <w:top w:val="single" w:sz="4" w:space="0" w:color="auto"/>
              <w:left w:val="single" w:sz="4" w:space="0" w:color="auto"/>
              <w:bottom w:val="single" w:sz="4" w:space="0" w:color="auto"/>
              <w:right w:val="single" w:sz="4" w:space="0" w:color="auto"/>
            </w:tcBorders>
            <w:vAlign w:val="center"/>
          </w:tcPr>
          <w:p w14:paraId="2BD35A09" w14:textId="01CCCDD3" w:rsidR="00181AA2" w:rsidRPr="004C5FC7" w:rsidRDefault="00181AA2" w:rsidP="00AA21E4">
            <w:pPr>
              <w:jc w:val="center"/>
              <w:rPr>
                <w:b/>
              </w:rPr>
            </w:pPr>
          </w:p>
        </w:tc>
      </w:tr>
      <w:tr w:rsidR="00181AA2" w:rsidRPr="00AF2A26" w14:paraId="54270B83" w14:textId="77777777" w:rsidTr="00215A78">
        <w:trPr>
          <w:trHeight w:val="646"/>
        </w:trPr>
        <w:tc>
          <w:tcPr>
            <w:tcW w:w="2297" w:type="dxa"/>
            <w:tcBorders>
              <w:top w:val="single" w:sz="4" w:space="0" w:color="auto"/>
              <w:left w:val="single" w:sz="4" w:space="0" w:color="auto"/>
              <w:bottom w:val="single" w:sz="4" w:space="0" w:color="auto"/>
              <w:right w:val="single" w:sz="4" w:space="0" w:color="auto"/>
            </w:tcBorders>
            <w:vAlign w:val="center"/>
          </w:tcPr>
          <w:p w14:paraId="41B63D14" w14:textId="3F42B0F7" w:rsidR="00181AA2" w:rsidRPr="00AF2A26" w:rsidRDefault="00181AA2" w:rsidP="00AA21E4">
            <w:pPr>
              <w:rPr>
                <w:b/>
              </w:rPr>
            </w:pPr>
            <w:r w:rsidRPr="00AF2A26">
              <w:rPr>
                <w:b/>
              </w:rPr>
              <w:t>Otisk razítka a podpis oprávněné osoby/osob:</w:t>
            </w:r>
          </w:p>
        </w:tc>
        <w:tc>
          <w:tcPr>
            <w:tcW w:w="6763" w:type="dxa"/>
            <w:gridSpan w:val="4"/>
            <w:tcBorders>
              <w:top w:val="single" w:sz="4" w:space="0" w:color="auto"/>
              <w:left w:val="single" w:sz="4" w:space="0" w:color="auto"/>
              <w:bottom w:val="single" w:sz="4" w:space="0" w:color="auto"/>
              <w:right w:val="single" w:sz="4" w:space="0" w:color="auto"/>
            </w:tcBorders>
            <w:vAlign w:val="center"/>
          </w:tcPr>
          <w:p w14:paraId="0751EF60" w14:textId="77777777" w:rsidR="00181AA2" w:rsidRPr="004C5FC7" w:rsidRDefault="00181AA2" w:rsidP="00AA21E4"/>
          <w:p w14:paraId="6D58F7CF" w14:textId="77777777" w:rsidR="00181AA2" w:rsidRPr="004C5FC7" w:rsidRDefault="00181AA2" w:rsidP="00AA21E4"/>
          <w:p w14:paraId="0927BA69" w14:textId="77777777" w:rsidR="00181AA2" w:rsidRPr="004C5FC7" w:rsidRDefault="00181AA2" w:rsidP="00AA21E4"/>
        </w:tc>
      </w:tr>
    </w:tbl>
    <w:p w14:paraId="05039C39" w14:textId="77777777" w:rsidR="002F781D" w:rsidRDefault="002F781D" w:rsidP="00181AA2">
      <w:pPr>
        <w:jc w:val="right"/>
        <w:sectPr w:rsidR="002F781D" w:rsidSect="00672A06">
          <w:headerReference w:type="first" r:id="rId24"/>
          <w:pgSz w:w="11906" w:h="16838"/>
          <w:pgMar w:top="1418" w:right="1418" w:bottom="1418" w:left="1418" w:header="709" w:footer="709" w:gutter="0"/>
          <w:cols w:space="708"/>
          <w:titlePg/>
          <w:docGrid w:linePitch="360"/>
        </w:sectPr>
      </w:pPr>
    </w:p>
    <w:p w14:paraId="719AD68B" w14:textId="07711A5C" w:rsidR="00181AA2" w:rsidRPr="00AF2A26" w:rsidRDefault="00181AA2" w:rsidP="00181AA2">
      <w:pPr>
        <w:pStyle w:val="SMLnadpisA"/>
        <w:spacing w:before="0"/>
        <w:rPr>
          <w:sz w:val="24"/>
          <w:szCs w:val="24"/>
        </w:rPr>
      </w:pPr>
      <w:r w:rsidRPr="00AF2A26">
        <w:rPr>
          <w:sz w:val="24"/>
          <w:szCs w:val="24"/>
        </w:rPr>
        <w:lastRenderedPageBreak/>
        <w:t>Obcho</w:t>
      </w:r>
      <w:r w:rsidR="002B4D79">
        <w:rPr>
          <w:sz w:val="24"/>
          <w:szCs w:val="24"/>
        </w:rPr>
        <w:t xml:space="preserve">dní podmínky k veřejné </w:t>
      </w:r>
      <w:proofErr w:type="gramStart"/>
      <w:r w:rsidR="002B4D79">
        <w:rPr>
          <w:sz w:val="24"/>
          <w:szCs w:val="24"/>
        </w:rPr>
        <w:t>zakázce</w:t>
      </w:r>
      <w:r w:rsidR="002B4D79" w:rsidRPr="00836DFF">
        <w:rPr>
          <w:sz w:val="24"/>
          <w:szCs w:val="24"/>
        </w:rPr>
        <w:t>:</w:t>
      </w:r>
      <w:r w:rsidR="00836DFF" w:rsidRPr="00836DFF">
        <w:rPr>
          <w:i/>
          <w:sz w:val="24"/>
          <w:szCs w:val="24"/>
        </w:rPr>
        <w:t>*</w:t>
      </w:r>
      <w:proofErr w:type="gramEnd"/>
    </w:p>
    <w:p w14:paraId="5C258715" w14:textId="77777777" w:rsidR="00181AA2" w:rsidRPr="00AF2A26" w:rsidRDefault="00181AA2" w:rsidP="00181AA2">
      <w:pPr>
        <w:pStyle w:val="SMLnadpisA"/>
        <w:spacing w:before="0"/>
        <w:rPr>
          <w:sz w:val="24"/>
          <w:szCs w:val="24"/>
        </w:rPr>
      </w:pPr>
    </w:p>
    <w:p w14:paraId="1A8DC55E" w14:textId="1494784B" w:rsidR="00181AA2" w:rsidRPr="00F66D0C" w:rsidRDefault="002B4D79" w:rsidP="00836DFF">
      <w:pPr>
        <w:ind w:left="280" w:hanging="280"/>
        <w:jc w:val="center"/>
        <w:rPr>
          <w:b/>
        </w:rPr>
      </w:pPr>
      <w:r w:rsidRPr="40087511">
        <w:rPr>
          <w:b/>
          <w:bCs/>
        </w:rPr>
        <w:t>„</w:t>
      </w:r>
      <w:r>
        <w:rPr>
          <w:b/>
          <w:bCs/>
        </w:rPr>
        <w:t>Pohyb obyvatel v Brně dle dat mobilního operátora</w:t>
      </w:r>
      <w:r w:rsidRPr="40087511">
        <w:rPr>
          <w:b/>
          <w:bCs/>
        </w:rPr>
        <w:t>“</w:t>
      </w:r>
      <w:r w:rsidR="00836DFF" w:rsidRPr="00AF2A26">
        <w:rPr>
          <w:b/>
          <w:i/>
        </w:rPr>
        <w:t>*</w:t>
      </w:r>
    </w:p>
    <w:p w14:paraId="26B26CD6" w14:textId="77777777" w:rsidR="00836DFF" w:rsidRPr="00AF2A26" w:rsidRDefault="00836DFF" w:rsidP="00836DFF">
      <w:pPr>
        <w:rPr>
          <w:b/>
        </w:rPr>
      </w:pPr>
      <w:r w:rsidRPr="00AF2A26">
        <w:rPr>
          <w:b/>
        </w:rPr>
        <w:t>---------------------------</w:t>
      </w:r>
    </w:p>
    <w:p w14:paraId="26060E7B" w14:textId="77777777" w:rsidR="00836DFF" w:rsidRDefault="00836DFF" w:rsidP="00836DFF">
      <w:pPr>
        <w:pStyle w:val="Mik"/>
        <w:jc w:val="center"/>
        <w:rPr>
          <w:b/>
          <w:bCs/>
          <w:szCs w:val="24"/>
        </w:rPr>
      </w:pPr>
      <w:r w:rsidRPr="00AF2A26">
        <w:rPr>
          <w:b/>
          <w:i/>
        </w:rPr>
        <w:t>* tento text není součástí smlouvy o dílo – dodavatel jej vymaže!</w:t>
      </w:r>
    </w:p>
    <w:p w14:paraId="51665C20" w14:textId="77777777" w:rsidR="00836DFF" w:rsidRDefault="00836DFF" w:rsidP="00836DFF">
      <w:pPr>
        <w:pStyle w:val="Mik"/>
        <w:jc w:val="center"/>
        <w:rPr>
          <w:b/>
          <w:bCs/>
          <w:szCs w:val="24"/>
        </w:rPr>
      </w:pPr>
    </w:p>
    <w:p w14:paraId="5EE9107D" w14:textId="77777777" w:rsidR="00836DFF" w:rsidRPr="00DE7DF2" w:rsidRDefault="00836DFF" w:rsidP="00836DFF">
      <w:pPr>
        <w:shd w:val="clear" w:color="auto" w:fill="FFFFFF"/>
        <w:tabs>
          <w:tab w:val="left" w:pos="0"/>
        </w:tabs>
        <w:spacing w:after="120"/>
        <w:ind w:right="-66"/>
        <w:jc w:val="center"/>
      </w:pPr>
      <w:r w:rsidRPr="00DE7DF2">
        <w:t>SMLOUVA O DÍLO</w:t>
      </w:r>
    </w:p>
    <w:p w14:paraId="2E2A7596" w14:textId="77777777" w:rsidR="00836DFF" w:rsidRPr="00DE7DF2" w:rsidRDefault="00836DFF" w:rsidP="00836DFF">
      <w:pPr>
        <w:shd w:val="clear" w:color="auto" w:fill="FFFFFF"/>
        <w:tabs>
          <w:tab w:val="left" w:pos="0"/>
        </w:tabs>
        <w:ind w:right="-66"/>
        <w:jc w:val="center"/>
      </w:pPr>
      <w:r w:rsidRPr="00DE7DF2">
        <w:t xml:space="preserve">uzavřená podle </w:t>
      </w:r>
      <w:proofErr w:type="spellStart"/>
      <w:r w:rsidRPr="00DE7DF2">
        <w:t>ust</w:t>
      </w:r>
      <w:proofErr w:type="spellEnd"/>
      <w:r w:rsidRPr="00DE7DF2">
        <w:t xml:space="preserve">. § </w:t>
      </w:r>
      <w:smartTag w:uri="urn:schemas-microsoft-com:office:smarttags" w:element="metricconverter">
        <w:smartTagPr>
          <w:attr w:name="ProductID" w:val="2586 a"/>
        </w:smartTagPr>
        <w:r w:rsidRPr="00DE7DF2">
          <w:t>2586 a</w:t>
        </w:r>
      </w:smartTag>
      <w:r w:rsidRPr="00DE7DF2">
        <w:t xml:space="preserve"> násl. zákona č. 89/2012 Sb., občanský zákoník, ve znění pozdějších předpisů (dále jen „občanský zákoník“), </w:t>
      </w:r>
    </w:p>
    <w:p w14:paraId="2AFF5EDB" w14:textId="3D90BA7B" w:rsidR="00836DFF" w:rsidRPr="00B11F6A" w:rsidRDefault="00836DFF" w:rsidP="00B11F6A">
      <w:pPr>
        <w:shd w:val="clear" w:color="auto" w:fill="FFFFFF"/>
        <w:tabs>
          <w:tab w:val="left" w:pos="0"/>
        </w:tabs>
        <w:ind w:right="-66"/>
        <w:jc w:val="center"/>
      </w:pPr>
      <w:r w:rsidRPr="00DE7DF2">
        <w:t>mezi smluvními stranami:</w:t>
      </w:r>
      <w:r w:rsidR="00181AA2" w:rsidRPr="00AF2A26">
        <w:rPr>
          <w:b/>
          <w:i/>
        </w:rPr>
        <w:br/>
      </w:r>
    </w:p>
    <w:p w14:paraId="21E6D30C" w14:textId="77777777" w:rsidR="00836DFF" w:rsidRPr="00836DFF" w:rsidRDefault="00836DFF" w:rsidP="00836DFF">
      <w:pPr>
        <w:suppressAutoHyphens/>
        <w:autoSpaceDN w:val="0"/>
        <w:textAlignment w:val="baseline"/>
        <w:rPr>
          <w:rFonts w:eastAsia="Calibri"/>
          <w:b/>
          <w:lang w:eastAsia="en-US"/>
        </w:rPr>
      </w:pPr>
      <w:r w:rsidRPr="00836DFF">
        <w:rPr>
          <w:rFonts w:eastAsia="Calibri"/>
          <w:b/>
          <w:lang w:eastAsia="en-US"/>
        </w:rPr>
        <w:t xml:space="preserve">statutární město Brno  </w:t>
      </w:r>
    </w:p>
    <w:p w14:paraId="2F3B44E2" w14:textId="77777777" w:rsidR="00836DFF" w:rsidRPr="00836DFF" w:rsidRDefault="00836DFF" w:rsidP="00836DFF">
      <w:pPr>
        <w:suppressAutoHyphens/>
        <w:autoSpaceDN w:val="0"/>
        <w:textAlignment w:val="baseline"/>
        <w:rPr>
          <w:rFonts w:eastAsia="Calibri"/>
          <w:lang w:eastAsia="en-US"/>
        </w:rPr>
      </w:pPr>
      <w:r w:rsidRPr="00836DFF">
        <w:rPr>
          <w:rFonts w:eastAsia="Calibri"/>
          <w:lang w:eastAsia="en-US"/>
        </w:rPr>
        <w:t>se sídlem:</w:t>
      </w:r>
      <w:r w:rsidRPr="00836DFF">
        <w:rPr>
          <w:rFonts w:eastAsia="Calibri"/>
          <w:lang w:eastAsia="en-US"/>
        </w:rPr>
        <w:tab/>
      </w:r>
      <w:r w:rsidRPr="00836DFF">
        <w:rPr>
          <w:rFonts w:eastAsia="Calibri"/>
          <w:lang w:eastAsia="en-US"/>
        </w:rPr>
        <w:tab/>
        <w:t>Dominikánské náměstí 196/1, 602 00 Brno</w:t>
      </w:r>
    </w:p>
    <w:p w14:paraId="0FCE5D8F" w14:textId="77777777" w:rsidR="00836DFF" w:rsidRPr="00836DFF" w:rsidRDefault="00836DFF" w:rsidP="00836DFF">
      <w:pPr>
        <w:suppressAutoHyphens/>
        <w:autoSpaceDN w:val="0"/>
        <w:textAlignment w:val="baseline"/>
        <w:rPr>
          <w:rFonts w:eastAsia="Calibri"/>
          <w:lang w:eastAsia="en-US"/>
        </w:rPr>
      </w:pPr>
      <w:r w:rsidRPr="00836DFF">
        <w:rPr>
          <w:rFonts w:eastAsia="Calibri"/>
          <w:lang w:eastAsia="en-US"/>
        </w:rPr>
        <w:t xml:space="preserve">Zastoupené: </w:t>
      </w:r>
      <w:r w:rsidRPr="00836DFF">
        <w:rPr>
          <w:rFonts w:eastAsia="Calibri"/>
          <w:lang w:eastAsia="en-US"/>
        </w:rPr>
        <w:tab/>
      </w:r>
      <w:r w:rsidRPr="00836DFF">
        <w:rPr>
          <w:rFonts w:eastAsia="Calibri"/>
          <w:lang w:eastAsia="en-US"/>
        </w:rPr>
        <w:tab/>
        <w:t>JUDr. Markétou Vaňkovou, primátorkou města Brna</w:t>
      </w:r>
    </w:p>
    <w:p w14:paraId="7AE7E70D" w14:textId="77777777" w:rsidR="00836DFF" w:rsidRPr="00836DFF" w:rsidRDefault="00836DFF" w:rsidP="00836DFF">
      <w:pPr>
        <w:rPr>
          <w:sz w:val="22"/>
          <w:szCs w:val="22"/>
        </w:rPr>
      </w:pPr>
      <w:r w:rsidRPr="00836DFF">
        <w:rPr>
          <w:sz w:val="22"/>
          <w:szCs w:val="22"/>
        </w:rPr>
        <w:t xml:space="preserve">IČO: </w:t>
      </w:r>
      <w:r w:rsidRPr="00836DFF">
        <w:rPr>
          <w:sz w:val="22"/>
          <w:szCs w:val="22"/>
        </w:rPr>
        <w:tab/>
      </w:r>
      <w:r w:rsidRPr="00836DFF">
        <w:rPr>
          <w:sz w:val="22"/>
          <w:szCs w:val="22"/>
        </w:rPr>
        <w:tab/>
      </w:r>
      <w:r w:rsidRPr="00836DFF">
        <w:rPr>
          <w:sz w:val="22"/>
          <w:szCs w:val="22"/>
        </w:rPr>
        <w:tab/>
        <w:t xml:space="preserve">44992785 </w:t>
      </w:r>
      <w:r w:rsidRPr="00836DFF">
        <w:rPr>
          <w:sz w:val="22"/>
          <w:szCs w:val="22"/>
        </w:rPr>
        <w:tab/>
      </w:r>
      <w:r w:rsidRPr="00836DFF">
        <w:rPr>
          <w:sz w:val="22"/>
          <w:szCs w:val="22"/>
        </w:rPr>
        <w:tab/>
      </w:r>
    </w:p>
    <w:p w14:paraId="2D97CF17" w14:textId="77777777" w:rsidR="00836DFF" w:rsidRPr="00836DFF" w:rsidRDefault="00836DFF" w:rsidP="00836DFF">
      <w:pPr>
        <w:rPr>
          <w:sz w:val="22"/>
          <w:szCs w:val="22"/>
        </w:rPr>
      </w:pPr>
      <w:r w:rsidRPr="00836DFF">
        <w:rPr>
          <w:sz w:val="22"/>
          <w:szCs w:val="22"/>
        </w:rPr>
        <w:t>DIČ:</w:t>
      </w:r>
      <w:r w:rsidRPr="00836DFF">
        <w:rPr>
          <w:sz w:val="22"/>
          <w:szCs w:val="22"/>
        </w:rPr>
        <w:tab/>
      </w:r>
      <w:r w:rsidRPr="00836DFF">
        <w:rPr>
          <w:sz w:val="22"/>
          <w:szCs w:val="22"/>
        </w:rPr>
        <w:tab/>
      </w:r>
      <w:r w:rsidRPr="00836DFF">
        <w:rPr>
          <w:sz w:val="22"/>
          <w:szCs w:val="22"/>
        </w:rPr>
        <w:tab/>
        <w:t>CZ44992785</w:t>
      </w:r>
    </w:p>
    <w:p w14:paraId="33F07874" w14:textId="77777777" w:rsidR="00836DFF" w:rsidRPr="00836DFF" w:rsidRDefault="00836DFF" w:rsidP="00836DFF">
      <w:pPr>
        <w:suppressAutoHyphens/>
        <w:autoSpaceDN w:val="0"/>
        <w:textAlignment w:val="baseline"/>
        <w:rPr>
          <w:rFonts w:eastAsia="Calibri"/>
          <w:lang w:eastAsia="en-US"/>
        </w:rPr>
      </w:pPr>
      <w:r w:rsidRPr="00836DFF">
        <w:rPr>
          <w:rFonts w:eastAsia="Calibri"/>
          <w:lang w:eastAsia="en-US"/>
        </w:rPr>
        <w:t xml:space="preserve">Bankovní spojení: </w:t>
      </w:r>
      <w:r w:rsidRPr="00836DFF">
        <w:rPr>
          <w:rFonts w:eastAsia="Calibri"/>
          <w:lang w:eastAsia="en-US"/>
        </w:rPr>
        <w:tab/>
        <w:t>Česká spořitelna a.s.</w:t>
      </w:r>
    </w:p>
    <w:p w14:paraId="2B49BE7A" w14:textId="77777777" w:rsidR="00836DFF" w:rsidRPr="00836DFF" w:rsidRDefault="00836DFF" w:rsidP="00836DFF">
      <w:pPr>
        <w:suppressAutoHyphens/>
        <w:autoSpaceDN w:val="0"/>
        <w:textAlignment w:val="baseline"/>
        <w:rPr>
          <w:rFonts w:eastAsia="Calibri"/>
          <w:lang w:eastAsia="en-US"/>
        </w:rPr>
      </w:pPr>
      <w:r w:rsidRPr="00836DFF">
        <w:rPr>
          <w:rFonts w:eastAsia="Calibri"/>
          <w:lang w:eastAsia="en-US"/>
        </w:rPr>
        <w:t>Číslo účtu:</w:t>
      </w:r>
      <w:r w:rsidRPr="00836DFF">
        <w:rPr>
          <w:rFonts w:eastAsia="Calibri"/>
          <w:lang w:eastAsia="en-US"/>
        </w:rPr>
        <w:tab/>
      </w:r>
      <w:r w:rsidRPr="00836DFF">
        <w:rPr>
          <w:rFonts w:eastAsia="Calibri"/>
          <w:lang w:eastAsia="en-US"/>
        </w:rPr>
        <w:tab/>
        <w:t>111211222/0800</w:t>
      </w:r>
    </w:p>
    <w:p w14:paraId="396877BB" w14:textId="5F5A30A6" w:rsidR="00836DFF" w:rsidRPr="00836DFF" w:rsidRDefault="00836DFF" w:rsidP="00836DFF">
      <w:pPr>
        <w:suppressAutoHyphens/>
        <w:autoSpaceDN w:val="0"/>
        <w:ind w:left="2127" w:hanging="2127"/>
        <w:jc w:val="both"/>
        <w:textAlignment w:val="baseline"/>
        <w:rPr>
          <w:rFonts w:eastAsia="Calibri"/>
          <w:lang w:eastAsia="en-US"/>
        </w:rPr>
      </w:pPr>
      <w:r w:rsidRPr="00836DFF">
        <w:rPr>
          <w:rFonts w:eastAsia="Calibri"/>
          <w:lang w:eastAsia="en-US"/>
        </w:rPr>
        <w:t xml:space="preserve">K podpisu smlouvy je oprávněn: Mgr. František Kubeš, vedoucí Odboru strategického rozvoje </w:t>
      </w:r>
      <w:r w:rsidRPr="00836DFF">
        <w:rPr>
          <w:rFonts w:eastAsia="Calibri"/>
          <w:lang w:eastAsia="en-US"/>
        </w:rPr>
        <w:br/>
        <w:t>a spolupráce M</w:t>
      </w:r>
      <w:r>
        <w:rPr>
          <w:rFonts w:eastAsia="Calibri"/>
          <w:lang w:eastAsia="en-US"/>
        </w:rPr>
        <w:t>agistrátu města Brna (dále také „OSRS“)</w:t>
      </w:r>
    </w:p>
    <w:p w14:paraId="471D1AF9" w14:textId="15C09633" w:rsidR="00836DFF" w:rsidRDefault="00B11F6A" w:rsidP="00836DFF">
      <w:pPr>
        <w:suppressAutoHyphens/>
        <w:autoSpaceDN w:val="0"/>
        <w:ind w:left="2127" w:hanging="2127"/>
        <w:jc w:val="both"/>
        <w:textAlignment w:val="baseline"/>
        <w:rPr>
          <w:rFonts w:eastAsia="Calibri"/>
          <w:color w:val="0563C1"/>
          <w:u w:val="single"/>
          <w:lang w:eastAsia="en-US"/>
        </w:rPr>
      </w:pPr>
      <w:r>
        <w:rPr>
          <w:rFonts w:eastAsia="Calibri"/>
          <w:lang w:eastAsia="en-US"/>
        </w:rPr>
        <w:t>Kontaktní osoba</w:t>
      </w:r>
      <w:r w:rsidR="00836DFF" w:rsidRPr="00836DFF">
        <w:rPr>
          <w:rFonts w:eastAsia="Calibri"/>
          <w:lang w:eastAsia="en-US"/>
        </w:rPr>
        <w:t xml:space="preserve">: </w:t>
      </w:r>
      <w:r w:rsidR="00836DFF">
        <w:rPr>
          <w:rFonts w:eastAsia="Calibri"/>
          <w:lang w:eastAsia="en-US"/>
        </w:rPr>
        <w:t>Mgr</w:t>
      </w:r>
      <w:r w:rsidR="00836DFF" w:rsidRPr="00836DFF">
        <w:rPr>
          <w:rFonts w:eastAsia="Calibri"/>
          <w:lang w:eastAsia="en-US"/>
        </w:rPr>
        <w:t xml:space="preserve">. </w:t>
      </w:r>
      <w:r w:rsidR="00836DFF">
        <w:rPr>
          <w:rFonts w:eastAsia="Calibri"/>
          <w:lang w:eastAsia="en-US"/>
        </w:rPr>
        <w:t>Jan Zvara. Ph.D.</w:t>
      </w:r>
      <w:r w:rsidR="00836DFF" w:rsidRPr="00836DFF">
        <w:rPr>
          <w:rFonts w:eastAsia="Calibri"/>
          <w:lang w:eastAsia="en-US"/>
        </w:rPr>
        <w:t xml:space="preserve">, </w:t>
      </w:r>
      <w:r w:rsidR="00836DFF">
        <w:rPr>
          <w:rFonts w:eastAsia="Calibri"/>
          <w:lang w:eastAsia="en-US"/>
        </w:rPr>
        <w:t>vedoucí</w:t>
      </w:r>
      <w:r w:rsidR="00836DFF" w:rsidRPr="00836DFF">
        <w:rPr>
          <w:rFonts w:eastAsia="Calibri"/>
          <w:lang w:eastAsia="en-US"/>
        </w:rPr>
        <w:t xml:space="preserve"> Oddělení</w:t>
      </w:r>
      <w:r w:rsidR="00836DFF">
        <w:rPr>
          <w:rFonts w:eastAsia="Calibri"/>
          <w:lang w:eastAsia="en-US"/>
        </w:rPr>
        <w:t xml:space="preserve"> dat, analýz a evaluací OSRS</w:t>
      </w:r>
      <w:r w:rsidR="00836DFF" w:rsidRPr="00836DFF">
        <w:rPr>
          <w:rFonts w:eastAsia="Calibri"/>
          <w:lang w:eastAsia="en-US"/>
        </w:rPr>
        <w:t>, +420 </w:t>
      </w:r>
      <w:r w:rsidR="00836DFF" w:rsidRPr="004F1DCF">
        <w:rPr>
          <w:rFonts w:eastAsia="Calibri"/>
          <w:lang w:eastAsia="en-US"/>
        </w:rPr>
        <w:t>542 17</w:t>
      </w:r>
      <w:r w:rsidR="004F1DCF">
        <w:rPr>
          <w:rFonts w:eastAsia="Calibri"/>
          <w:lang w:eastAsia="en-US"/>
        </w:rPr>
        <w:t xml:space="preserve"> </w:t>
      </w:r>
      <w:proofErr w:type="gramStart"/>
      <w:r w:rsidR="004F1DCF" w:rsidRPr="004F1DCF">
        <w:rPr>
          <w:rFonts w:eastAsia="Calibri"/>
          <w:lang w:eastAsia="en-US"/>
        </w:rPr>
        <w:t>2304</w:t>
      </w:r>
      <w:r w:rsidR="00836DFF" w:rsidRPr="004F1DCF">
        <w:rPr>
          <w:rFonts w:eastAsia="Calibri"/>
          <w:lang w:eastAsia="en-US"/>
        </w:rPr>
        <w:t> ,</w:t>
      </w:r>
      <w:proofErr w:type="gramEnd"/>
      <w:r w:rsidR="00836DFF" w:rsidRPr="004F1DCF">
        <w:rPr>
          <w:rFonts w:eastAsia="Calibri"/>
          <w:lang w:eastAsia="en-US"/>
        </w:rPr>
        <w:t xml:space="preserve"> </w:t>
      </w:r>
      <w:hyperlink r:id="rId25" w:history="1">
        <w:r w:rsidR="00836DFF" w:rsidRPr="004F1DCF">
          <w:rPr>
            <w:rStyle w:val="Hypertextovodkaz"/>
            <w:rFonts w:eastAsia="Calibri"/>
            <w:lang w:eastAsia="en-US"/>
          </w:rPr>
          <w:t>zvara.jan@brno.cz</w:t>
        </w:r>
      </w:hyperlink>
    </w:p>
    <w:p w14:paraId="258D8D4F" w14:textId="79114BE2" w:rsidR="00836DFF" w:rsidRPr="00836DFF" w:rsidRDefault="00836DFF" w:rsidP="00836DFF">
      <w:pPr>
        <w:suppressAutoHyphens/>
        <w:autoSpaceDN w:val="0"/>
        <w:textAlignment w:val="baseline"/>
        <w:rPr>
          <w:rFonts w:eastAsia="Calibri"/>
          <w:lang w:eastAsia="en-US"/>
        </w:rPr>
      </w:pPr>
      <w:r w:rsidRPr="00836DFF">
        <w:rPr>
          <w:rFonts w:eastAsia="Calibri"/>
          <w:lang w:eastAsia="en-US"/>
        </w:rPr>
        <w:t>(dále jen „</w:t>
      </w:r>
      <w:r w:rsidRPr="00836DFF">
        <w:rPr>
          <w:rFonts w:eastAsia="Calibri"/>
          <w:b/>
          <w:lang w:eastAsia="en-US"/>
        </w:rPr>
        <w:t>Objednatel</w:t>
      </w:r>
      <w:r>
        <w:rPr>
          <w:rFonts w:eastAsia="Calibri"/>
          <w:b/>
          <w:lang w:eastAsia="en-US"/>
        </w:rPr>
        <w:t xml:space="preserve"> č. 1</w:t>
      </w:r>
      <w:r w:rsidRPr="00836DFF">
        <w:rPr>
          <w:rFonts w:eastAsia="Calibri"/>
          <w:lang w:eastAsia="en-US"/>
        </w:rPr>
        <w:t xml:space="preserve">“) </w:t>
      </w:r>
    </w:p>
    <w:p w14:paraId="4272E8B7" w14:textId="3AC90C3A" w:rsidR="00836DFF" w:rsidRDefault="00836DFF" w:rsidP="00836DFF">
      <w:pPr>
        <w:suppressAutoHyphens/>
        <w:autoSpaceDN w:val="0"/>
        <w:textAlignment w:val="baseline"/>
        <w:rPr>
          <w:rFonts w:eastAsia="Calibri"/>
          <w:lang w:eastAsia="en-US"/>
        </w:rPr>
      </w:pPr>
    </w:p>
    <w:p w14:paraId="4DE6D4A0" w14:textId="596454AD" w:rsidR="00836DFF" w:rsidRDefault="00836DFF" w:rsidP="00836DFF">
      <w:pPr>
        <w:suppressAutoHyphens/>
        <w:autoSpaceDN w:val="0"/>
        <w:textAlignment w:val="baseline"/>
        <w:rPr>
          <w:rFonts w:eastAsia="Calibri"/>
          <w:lang w:eastAsia="en-US"/>
        </w:rPr>
      </w:pPr>
      <w:r>
        <w:rPr>
          <w:rFonts w:eastAsia="Calibri"/>
          <w:lang w:eastAsia="en-US"/>
        </w:rPr>
        <w:t>a</w:t>
      </w:r>
    </w:p>
    <w:p w14:paraId="3253F17F" w14:textId="77777777" w:rsidR="00836DFF" w:rsidRDefault="00836DFF" w:rsidP="00836DFF">
      <w:pPr>
        <w:suppressAutoHyphens/>
        <w:autoSpaceDN w:val="0"/>
        <w:textAlignment w:val="baseline"/>
        <w:rPr>
          <w:rFonts w:eastAsia="Calibri"/>
          <w:lang w:eastAsia="en-US"/>
        </w:rPr>
      </w:pPr>
    </w:p>
    <w:p w14:paraId="450546E0" w14:textId="6FFEBEFC" w:rsidR="00836DFF" w:rsidRPr="00836DFF" w:rsidRDefault="00836DFF" w:rsidP="00836DFF">
      <w:pPr>
        <w:suppressAutoHyphens/>
        <w:autoSpaceDN w:val="0"/>
        <w:textAlignment w:val="baseline"/>
        <w:rPr>
          <w:rFonts w:eastAsia="Calibri"/>
          <w:b/>
          <w:lang w:eastAsia="en-US"/>
        </w:rPr>
      </w:pPr>
      <w:r>
        <w:rPr>
          <w:rFonts w:eastAsia="Calibri"/>
          <w:b/>
          <w:lang w:eastAsia="en-US"/>
        </w:rPr>
        <w:t>Kancelář architekta města Brna, příspěvková organizace</w:t>
      </w:r>
    </w:p>
    <w:p w14:paraId="767CC61B" w14:textId="163C3255" w:rsidR="00836DFF" w:rsidRPr="00836DFF" w:rsidRDefault="00836DFF" w:rsidP="00836DFF">
      <w:pPr>
        <w:suppressAutoHyphens/>
        <w:autoSpaceDN w:val="0"/>
        <w:textAlignment w:val="baseline"/>
        <w:rPr>
          <w:rFonts w:eastAsia="Calibri"/>
          <w:lang w:eastAsia="en-US"/>
        </w:rPr>
      </w:pPr>
      <w:r w:rsidRPr="00836DFF">
        <w:rPr>
          <w:rFonts w:eastAsia="Calibri"/>
          <w:lang w:eastAsia="en-US"/>
        </w:rPr>
        <w:t>se sídlem:</w:t>
      </w:r>
      <w:r w:rsidRPr="00836DFF">
        <w:rPr>
          <w:rFonts w:eastAsia="Calibri"/>
          <w:lang w:eastAsia="en-US"/>
        </w:rPr>
        <w:tab/>
      </w:r>
      <w:r w:rsidRPr="00836DFF">
        <w:rPr>
          <w:rFonts w:eastAsia="Calibri"/>
          <w:lang w:eastAsia="en-US"/>
        </w:rPr>
        <w:tab/>
      </w:r>
      <w:r>
        <w:rPr>
          <w:rFonts w:eastAsia="Calibri"/>
          <w:lang w:eastAsia="en-US"/>
        </w:rPr>
        <w:t>Zelný trh</w:t>
      </w:r>
      <w:r w:rsidRPr="00836DFF">
        <w:rPr>
          <w:rFonts w:eastAsia="Calibri"/>
          <w:lang w:eastAsia="en-US"/>
        </w:rPr>
        <w:t xml:space="preserve"> </w:t>
      </w:r>
      <w:r>
        <w:rPr>
          <w:rFonts w:eastAsia="Calibri"/>
          <w:lang w:eastAsia="en-US"/>
        </w:rPr>
        <w:t>331</w:t>
      </w:r>
      <w:r w:rsidRPr="00836DFF">
        <w:rPr>
          <w:rFonts w:eastAsia="Calibri"/>
          <w:lang w:eastAsia="en-US"/>
        </w:rPr>
        <w:t>/1</w:t>
      </w:r>
      <w:r>
        <w:rPr>
          <w:rFonts w:eastAsia="Calibri"/>
          <w:lang w:eastAsia="en-US"/>
        </w:rPr>
        <w:t>3</w:t>
      </w:r>
      <w:r w:rsidRPr="00836DFF">
        <w:rPr>
          <w:rFonts w:eastAsia="Calibri"/>
          <w:lang w:eastAsia="en-US"/>
        </w:rPr>
        <w:t>, 602 00 Brno</w:t>
      </w:r>
    </w:p>
    <w:p w14:paraId="2BC8E5A2" w14:textId="4B6CCCC6" w:rsidR="00836DFF" w:rsidRPr="00836DFF" w:rsidRDefault="00836DFF" w:rsidP="00836DFF">
      <w:pPr>
        <w:suppressAutoHyphens/>
        <w:autoSpaceDN w:val="0"/>
        <w:textAlignment w:val="baseline"/>
        <w:rPr>
          <w:rFonts w:eastAsia="Calibri"/>
          <w:lang w:eastAsia="en-US"/>
        </w:rPr>
      </w:pPr>
      <w:r w:rsidRPr="00836DFF">
        <w:rPr>
          <w:rFonts w:eastAsia="Calibri"/>
          <w:lang w:eastAsia="en-US"/>
        </w:rPr>
        <w:t xml:space="preserve">Zastoupené: </w:t>
      </w:r>
      <w:r w:rsidRPr="00836DFF">
        <w:rPr>
          <w:rFonts w:eastAsia="Calibri"/>
          <w:lang w:eastAsia="en-US"/>
        </w:rPr>
        <w:tab/>
      </w:r>
      <w:r w:rsidRPr="00836DFF">
        <w:rPr>
          <w:rFonts w:eastAsia="Calibri"/>
          <w:lang w:eastAsia="en-US"/>
        </w:rPr>
        <w:tab/>
      </w:r>
      <w:r w:rsidR="00B11F6A">
        <w:rPr>
          <w:rFonts w:eastAsia="Calibri"/>
          <w:lang w:eastAsia="en-US"/>
        </w:rPr>
        <w:t>doc. Ing. arch. Michalem Sedláčkem, ředitelem</w:t>
      </w:r>
    </w:p>
    <w:p w14:paraId="551E3A03" w14:textId="0F7B8E5A" w:rsidR="00836DFF" w:rsidRPr="00836DFF" w:rsidRDefault="00836DFF" w:rsidP="00836DFF">
      <w:pPr>
        <w:rPr>
          <w:sz w:val="22"/>
          <w:szCs w:val="22"/>
        </w:rPr>
      </w:pPr>
      <w:r w:rsidRPr="00836DFF">
        <w:rPr>
          <w:sz w:val="22"/>
          <w:szCs w:val="22"/>
        </w:rPr>
        <w:t xml:space="preserve">IČO: </w:t>
      </w:r>
      <w:r w:rsidRPr="00836DFF">
        <w:rPr>
          <w:sz w:val="22"/>
          <w:szCs w:val="22"/>
        </w:rPr>
        <w:tab/>
      </w:r>
      <w:r w:rsidRPr="00836DFF">
        <w:rPr>
          <w:sz w:val="22"/>
          <w:szCs w:val="22"/>
        </w:rPr>
        <w:tab/>
      </w:r>
      <w:r w:rsidRPr="00836DFF">
        <w:rPr>
          <w:sz w:val="22"/>
          <w:szCs w:val="22"/>
        </w:rPr>
        <w:tab/>
      </w:r>
      <w:r w:rsidR="00B11F6A">
        <w:t>05128820</w:t>
      </w:r>
      <w:r w:rsidRPr="00836DFF">
        <w:rPr>
          <w:sz w:val="22"/>
          <w:szCs w:val="22"/>
        </w:rPr>
        <w:t xml:space="preserve"> </w:t>
      </w:r>
      <w:r w:rsidRPr="00836DFF">
        <w:rPr>
          <w:sz w:val="22"/>
          <w:szCs w:val="22"/>
        </w:rPr>
        <w:tab/>
      </w:r>
      <w:r w:rsidRPr="00836DFF">
        <w:rPr>
          <w:sz w:val="22"/>
          <w:szCs w:val="22"/>
        </w:rPr>
        <w:tab/>
      </w:r>
    </w:p>
    <w:p w14:paraId="03A46DD8" w14:textId="6BFBAFBF" w:rsidR="00836DFF" w:rsidRPr="004F1DCF" w:rsidRDefault="00836DFF" w:rsidP="004F1DCF">
      <w:pPr>
        <w:textAlignment w:val="baseline"/>
        <w:rPr>
          <w:rFonts w:ascii="Segoe UI" w:hAnsi="Segoe UI" w:cs="Segoe UI"/>
          <w:sz w:val="18"/>
          <w:szCs w:val="18"/>
        </w:rPr>
      </w:pPr>
      <w:r w:rsidRPr="00836DFF">
        <w:rPr>
          <w:sz w:val="22"/>
          <w:szCs w:val="22"/>
        </w:rPr>
        <w:t>DIČ:</w:t>
      </w:r>
      <w:r w:rsidRPr="00836DFF">
        <w:rPr>
          <w:sz w:val="22"/>
          <w:szCs w:val="22"/>
        </w:rPr>
        <w:tab/>
      </w:r>
      <w:r w:rsidRPr="00836DFF">
        <w:rPr>
          <w:sz w:val="22"/>
          <w:szCs w:val="22"/>
        </w:rPr>
        <w:tab/>
      </w:r>
      <w:r w:rsidRPr="00836DFF">
        <w:rPr>
          <w:sz w:val="22"/>
          <w:szCs w:val="22"/>
        </w:rPr>
        <w:tab/>
        <w:t>CZ</w:t>
      </w:r>
      <w:r w:rsidR="00B11F6A">
        <w:t>05128820</w:t>
      </w:r>
      <w:r w:rsidR="002170C6">
        <w:t xml:space="preserve"> </w:t>
      </w:r>
      <w:r w:rsidR="002170C6" w:rsidRPr="00836DFF">
        <w:t>[není plátce daně z přidané hodnoty (dále jen „DPH“)]</w:t>
      </w:r>
    </w:p>
    <w:p w14:paraId="5616A865" w14:textId="2590F3FC" w:rsidR="00836DFF" w:rsidRPr="00836DFF" w:rsidRDefault="00836DFF" w:rsidP="00836DFF">
      <w:pPr>
        <w:suppressAutoHyphens/>
        <w:autoSpaceDN w:val="0"/>
        <w:textAlignment w:val="baseline"/>
        <w:rPr>
          <w:rFonts w:eastAsia="Calibri"/>
          <w:lang w:eastAsia="en-US"/>
        </w:rPr>
      </w:pPr>
      <w:r w:rsidRPr="00836DFF">
        <w:rPr>
          <w:rFonts w:eastAsia="Calibri"/>
          <w:lang w:eastAsia="en-US"/>
        </w:rPr>
        <w:t xml:space="preserve">Bankovní spojení: </w:t>
      </w:r>
      <w:r w:rsidRPr="00836DFF">
        <w:rPr>
          <w:rFonts w:eastAsia="Calibri"/>
          <w:lang w:eastAsia="en-US"/>
        </w:rPr>
        <w:tab/>
      </w:r>
      <w:r w:rsidR="008461BD">
        <w:rPr>
          <w:rFonts w:eastAsia="Calibri"/>
          <w:lang w:eastAsia="en-US"/>
        </w:rPr>
        <w:t>FIO banka</w:t>
      </w:r>
    </w:p>
    <w:p w14:paraId="3E471BFC" w14:textId="44ECE13D" w:rsidR="00836DFF" w:rsidRPr="00836DFF" w:rsidRDefault="00836DFF" w:rsidP="00836DFF">
      <w:pPr>
        <w:suppressAutoHyphens/>
        <w:autoSpaceDN w:val="0"/>
        <w:textAlignment w:val="baseline"/>
        <w:rPr>
          <w:rFonts w:eastAsia="Calibri"/>
          <w:lang w:eastAsia="en-US"/>
        </w:rPr>
      </w:pPr>
      <w:r w:rsidRPr="00836DFF">
        <w:rPr>
          <w:rFonts w:eastAsia="Calibri"/>
          <w:lang w:eastAsia="en-US"/>
        </w:rPr>
        <w:t>Číslo účtu:</w:t>
      </w:r>
      <w:r w:rsidRPr="00836DFF">
        <w:rPr>
          <w:rFonts w:eastAsia="Calibri"/>
          <w:lang w:eastAsia="en-US"/>
        </w:rPr>
        <w:tab/>
      </w:r>
      <w:r w:rsidRPr="00836DFF">
        <w:rPr>
          <w:rFonts w:eastAsia="Calibri"/>
          <w:lang w:eastAsia="en-US"/>
        </w:rPr>
        <w:tab/>
      </w:r>
      <w:r w:rsidR="008461BD" w:rsidRPr="004B6664">
        <w:rPr>
          <w:rFonts w:ascii="Tahoma" w:hAnsi="Tahoma" w:cs="Tahoma"/>
          <w:color w:val="000000"/>
          <w:sz w:val="20"/>
          <w:szCs w:val="20"/>
        </w:rPr>
        <w:t xml:space="preserve">2001018746/2010 </w:t>
      </w:r>
    </w:p>
    <w:p w14:paraId="077EFB70" w14:textId="19B17A6F" w:rsidR="00836DFF" w:rsidRDefault="00B11F6A" w:rsidP="00836DFF">
      <w:pPr>
        <w:suppressAutoHyphens/>
        <w:autoSpaceDN w:val="0"/>
        <w:ind w:left="2127" w:hanging="2127"/>
        <w:jc w:val="both"/>
        <w:textAlignment w:val="baseline"/>
        <w:rPr>
          <w:rFonts w:eastAsia="Calibri"/>
          <w:color w:val="0563C1"/>
          <w:u w:val="single"/>
          <w:lang w:eastAsia="en-US"/>
        </w:rPr>
      </w:pPr>
      <w:r>
        <w:rPr>
          <w:rFonts w:eastAsia="Calibri"/>
          <w:lang w:eastAsia="en-US"/>
        </w:rPr>
        <w:t>Kontaktní osoba</w:t>
      </w:r>
      <w:r w:rsidR="00836DFF" w:rsidRPr="00836DFF">
        <w:rPr>
          <w:rFonts w:eastAsia="Calibri"/>
          <w:lang w:eastAsia="en-US"/>
        </w:rPr>
        <w:t xml:space="preserve">: </w:t>
      </w:r>
      <w:r>
        <w:rPr>
          <w:rFonts w:eastAsia="Calibri"/>
          <w:lang w:eastAsia="en-US"/>
        </w:rPr>
        <w:t>…</w:t>
      </w:r>
      <w:r w:rsidR="00471B3B">
        <w:rPr>
          <w:rFonts w:eastAsia="Calibri"/>
          <w:lang w:eastAsia="en-US"/>
        </w:rPr>
        <w:t xml:space="preserve">Mgr. Jiří Malý, Ph.D. </w:t>
      </w:r>
      <w:hyperlink r:id="rId26" w:history="1">
        <w:r w:rsidR="00471B3B" w:rsidRPr="001E2F40">
          <w:rPr>
            <w:rStyle w:val="Hypertextovodkaz"/>
            <w:rFonts w:eastAsia="Calibri"/>
            <w:lang w:eastAsia="en-US"/>
          </w:rPr>
          <w:t>maly.jiri@kambrno.cz</w:t>
        </w:r>
      </w:hyperlink>
      <w:r w:rsidR="00471B3B">
        <w:rPr>
          <w:rFonts w:eastAsia="Calibri"/>
          <w:lang w:eastAsia="en-US"/>
        </w:rPr>
        <w:t>, +420 770 176 562</w:t>
      </w:r>
    </w:p>
    <w:p w14:paraId="4CE1A2BB" w14:textId="141291D2" w:rsidR="00152726" w:rsidRDefault="00836DFF" w:rsidP="00836DFF">
      <w:pPr>
        <w:suppressAutoHyphens/>
        <w:autoSpaceDN w:val="0"/>
        <w:textAlignment w:val="baseline"/>
        <w:rPr>
          <w:rFonts w:eastAsia="Calibri"/>
          <w:lang w:eastAsia="en-US"/>
        </w:rPr>
      </w:pPr>
      <w:r w:rsidRPr="00836DFF">
        <w:rPr>
          <w:rFonts w:eastAsia="Calibri"/>
          <w:lang w:eastAsia="en-US"/>
        </w:rPr>
        <w:t>(dále jen „</w:t>
      </w:r>
      <w:r w:rsidRPr="00836DFF">
        <w:rPr>
          <w:rFonts w:eastAsia="Calibri"/>
          <w:b/>
          <w:lang w:eastAsia="en-US"/>
        </w:rPr>
        <w:t>Objednatel</w:t>
      </w:r>
      <w:r>
        <w:rPr>
          <w:rFonts w:eastAsia="Calibri"/>
          <w:b/>
          <w:lang w:eastAsia="en-US"/>
        </w:rPr>
        <w:t xml:space="preserve"> č. </w:t>
      </w:r>
      <w:r w:rsidR="00B11F6A">
        <w:rPr>
          <w:rFonts w:eastAsia="Calibri"/>
          <w:b/>
          <w:lang w:eastAsia="en-US"/>
        </w:rPr>
        <w:t>2</w:t>
      </w:r>
      <w:r w:rsidRPr="00836DFF">
        <w:rPr>
          <w:rFonts w:eastAsia="Calibri"/>
          <w:lang w:eastAsia="en-US"/>
        </w:rPr>
        <w:t>“</w:t>
      </w:r>
      <w:r w:rsidR="00152726">
        <w:rPr>
          <w:rFonts w:eastAsia="Calibri"/>
          <w:lang w:eastAsia="en-US"/>
        </w:rPr>
        <w:t>)</w:t>
      </w:r>
    </w:p>
    <w:p w14:paraId="2D80A1B9" w14:textId="2770E607" w:rsidR="00836DFF" w:rsidRPr="00836DFF" w:rsidRDefault="007A3D9B" w:rsidP="00836DFF">
      <w:pPr>
        <w:suppressAutoHyphens/>
        <w:autoSpaceDN w:val="0"/>
        <w:textAlignment w:val="baseline"/>
        <w:rPr>
          <w:rFonts w:eastAsia="Calibri"/>
          <w:lang w:eastAsia="en-US"/>
        </w:rPr>
      </w:pPr>
      <w:r>
        <w:rPr>
          <w:rFonts w:eastAsia="Calibri"/>
          <w:lang w:eastAsia="en-US"/>
        </w:rPr>
        <w:t>(</w:t>
      </w:r>
      <w:r w:rsidR="00B11F6A">
        <w:rPr>
          <w:rFonts w:eastAsia="Calibri"/>
          <w:lang w:eastAsia="en-US"/>
        </w:rPr>
        <w:t>Objednatel č. 1 a Objednatel č. 2 dále také společně jako „Objednatelé“</w:t>
      </w:r>
      <w:r w:rsidR="00836DFF" w:rsidRPr="00836DFF">
        <w:rPr>
          <w:rFonts w:eastAsia="Calibri"/>
          <w:lang w:eastAsia="en-US"/>
        </w:rPr>
        <w:t xml:space="preserve">) </w:t>
      </w:r>
    </w:p>
    <w:p w14:paraId="5BD0A0DC" w14:textId="77777777" w:rsidR="00836DFF" w:rsidRPr="00836DFF" w:rsidRDefault="00836DFF" w:rsidP="00836DFF">
      <w:pPr>
        <w:suppressAutoHyphens/>
        <w:autoSpaceDN w:val="0"/>
        <w:textAlignment w:val="baseline"/>
        <w:rPr>
          <w:rFonts w:eastAsia="Calibri"/>
          <w:lang w:eastAsia="en-US"/>
        </w:rPr>
      </w:pPr>
    </w:p>
    <w:p w14:paraId="4D56863A" w14:textId="77777777" w:rsidR="00836DFF" w:rsidRPr="00836DFF" w:rsidRDefault="00836DFF" w:rsidP="00836DFF">
      <w:pPr>
        <w:textAlignment w:val="baseline"/>
        <w:rPr>
          <w:rFonts w:ascii="Segoe UI" w:hAnsi="Segoe UI" w:cs="Segoe UI"/>
          <w:sz w:val="18"/>
          <w:szCs w:val="18"/>
        </w:rPr>
      </w:pPr>
      <w:r w:rsidRPr="00836DFF">
        <w:t>a </w:t>
      </w:r>
    </w:p>
    <w:p w14:paraId="0B683F6E" w14:textId="77777777" w:rsidR="00836DFF" w:rsidRPr="00836DFF" w:rsidRDefault="00836DFF" w:rsidP="00836DFF">
      <w:pPr>
        <w:textAlignment w:val="baseline"/>
        <w:rPr>
          <w:rFonts w:ascii="Segoe UI" w:hAnsi="Segoe UI" w:cs="Segoe UI"/>
          <w:sz w:val="18"/>
          <w:szCs w:val="18"/>
        </w:rPr>
      </w:pPr>
      <w:r w:rsidRPr="00836DFF">
        <w:t> </w:t>
      </w:r>
    </w:p>
    <w:p w14:paraId="39562911" w14:textId="77777777" w:rsidR="00836DFF" w:rsidRPr="00836DFF" w:rsidRDefault="00836DFF" w:rsidP="00836DFF">
      <w:pPr>
        <w:textAlignment w:val="baseline"/>
        <w:rPr>
          <w:rFonts w:ascii="Segoe UI" w:hAnsi="Segoe UI" w:cs="Segoe UI"/>
          <w:sz w:val="18"/>
          <w:szCs w:val="18"/>
        </w:rPr>
      </w:pPr>
      <w:r w:rsidRPr="00836DFF">
        <w:rPr>
          <w:b/>
          <w:bCs/>
        </w:rPr>
        <w:t>Název </w:t>
      </w:r>
      <w:r w:rsidRPr="00836DFF">
        <w:t> </w:t>
      </w:r>
    </w:p>
    <w:p w14:paraId="39723D4E" w14:textId="77777777" w:rsidR="00836DFF" w:rsidRPr="00836DFF" w:rsidRDefault="00836DFF" w:rsidP="00836DFF">
      <w:pPr>
        <w:textAlignment w:val="baseline"/>
        <w:rPr>
          <w:rFonts w:ascii="Segoe UI" w:hAnsi="Segoe UI" w:cs="Segoe UI"/>
          <w:sz w:val="18"/>
          <w:szCs w:val="18"/>
        </w:rPr>
      </w:pPr>
      <w:r w:rsidRPr="00836DFF">
        <w:t xml:space="preserve">se sídlem: </w:t>
      </w:r>
      <w:proofErr w:type="spellStart"/>
      <w:r w:rsidRPr="00836DFF">
        <w:t>xxxxxxx</w:t>
      </w:r>
      <w:proofErr w:type="spellEnd"/>
      <w:r w:rsidRPr="00836DFF">
        <w:t>  </w:t>
      </w:r>
    </w:p>
    <w:p w14:paraId="6EA6A1CA" w14:textId="77777777" w:rsidR="00836DFF" w:rsidRPr="00836DFF" w:rsidRDefault="00836DFF" w:rsidP="00836DFF">
      <w:pPr>
        <w:textAlignment w:val="baseline"/>
        <w:rPr>
          <w:rFonts w:ascii="Segoe UI" w:hAnsi="Segoe UI" w:cs="Segoe UI"/>
          <w:sz w:val="18"/>
          <w:szCs w:val="18"/>
        </w:rPr>
      </w:pPr>
      <w:r w:rsidRPr="00836DFF">
        <w:t xml:space="preserve">Zastoupena: </w:t>
      </w:r>
      <w:proofErr w:type="spellStart"/>
      <w:r w:rsidRPr="00836DFF">
        <w:t>xxxxxxxx</w:t>
      </w:r>
      <w:proofErr w:type="spellEnd"/>
      <w:r w:rsidRPr="00836DFF">
        <w:t> </w:t>
      </w:r>
    </w:p>
    <w:p w14:paraId="0999B507" w14:textId="77777777" w:rsidR="00836DFF" w:rsidRPr="00836DFF" w:rsidRDefault="00836DFF" w:rsidP="00836DFF">
      <w:pPr>
        <w:textAlignment w:val="baseline"/>
        <w:rPr>
          <w:rFonts w:ascii="Segoe UI" w:hAnsi="Segoe UI" w:cs="Segoe UI"/>
          <w:sz w:val="18"/>
          <w:szCs w:val="18"/>
        </w:rPr>
      </w:pPr>
      <w:r w:rsidRPr="00836DFF">
        <w:t>IČO: </w:t>
      </w:r>
      <w:proofErr w:type="spellStart"/>
      <w:r w:rsidRPr="00836DFF">
        <w:t>xxxxxxx</w:t>
      </w:r>
      <w:proofErr w:type="spellEnd"/>
      <w:r w:rsidRPr="00836DFF">
        <w:t> </w:t>
      </w:r>
    </w:p>
    <w:p w14:paraId="68C27DB8" w14:textId="4E89C111" w:rsidR="00836DFF" w:rsidRPr="00836DFF" w:rsidRDefault="00836DFF" w:rsidP="00836DFF">
      <w:pPr>
        <w:textAlignment w:val="baseline"/>
        <w:rPr>
          <w:rFonts w:ascii="Segoe UI" w:hAnsi="Segoe UI" w:cs="Segoe UI"/>
          <w:sz w:val="18"/>
          <w:szCs w:val="18"/>
        </w:rPr>
      </w:pPr>
      <w:r w:rsidRPr="00836DFF">
        <w:t>DIČ: </w:t>
      </w:r>
      <w:proofErr w:type="spellStart"/>
      <w:r w:rsidRPr="00836DFF">
        <w:t>CZxxxxxx</w:t>
      </w:r>
      <w:proofErr w:type="spellEnd"/>
      <w:r w:rsidRPr="00836DFF">
        <w:t xml:space="preserve"> [je/není plátce </w:t>
      </w:r>
      <w:r w:rsidR="002170C6">
        <w:t>DPH</w:t>
      </w:r>
      <w:r w:rsidRPr="00836DFF">
        <w:t>]</w:t>
      </w:r>
    </w:p>
    <w:p w14:paraId="085DF42F" w14:textId="77777777" w:rsidR="00836DFF" w:rsidRPr="00836DFF" w:rsidRDefault="00836DFF" w:rsidP="00836DFF">
      <w:pPr>
        <w:textAlignment w:val="baseline"/>
        <w:rPr>
          <w:rFonts w:ascii="Segoe UI" w:hAnsi="Segoe UI" w:cs="Segoe UI"/>
          <w:sz w:val="18"/>
          <w:szCs w:val="18"/>
        </w:rPr>
      </w:pPr>
      <w:r w:rsidRPr="00836DFF">
        <w:t xml:space="preserve">Bankovní </w:t>
      </w:r>
      <w:proofErr w:type="gramStart"/>
      <w:r w:rsidRPr="00836DFF">
        <w:t>spojení:  </w:t>
      </w:r>
      <w:proofErr w:type="spellStart"/>
      <w:r w:rsidRPr="00836DFF">
        <w:t>xxxxxxxx</w:t>
      </w:r>
      <w:proofErr w:type="spellEnd"/>
      <w:proofErr w:type="gramEnd"/>
      <w:r w:rsidRPr="00836DFF">
        <w:t> </w:t>
      </w:r>
    </w:p>
    <w:p w14:paraId="176D579D" w14:textId="77777777" w:rsidR="00836DFF" w:rsidRPr="00836DFF" w:rsidRDefault="00836DFF" w:rsidP="00836DFF">
      <w:pPr>
        <w:textAlignment w:val="baseline"/>
        <w:rPr>
          <w:rFonts w:ascii="Segoe UI" w:hAnsi="Segoe UI" w:cs="Segoe UI"/>
          <w:sz w:val="18"/>
          <w:szCs w:val="18"/>
        </w:rPr>
      </w:pPr>
      <w:r w:rsidRPr="00836DFF">
        <w:t xml:space="preserve">Číslo účtu: </w:t>
      </w:r>
      <w:proofErr w:type="spellStart"/>
      <w:r w:rsidRPr="00836DFF">
        <w:t>xxxxxxx</w:t>
      </w:r>
      <w:proofErr w:type="spellEnd"/>
      <w:r w:rsidRPr="00836DFF">
        <w:t> </w:t>
      </w:r>
    </w:p>
    <w:p w14:paraId="58C6DFC6" w14:textId="77777777" w:rsidR="00836DFF" w:rsidRPr="00836DFF" w:rsidRDefault="00836DFF" w:rsidP="00836DFF">
      <w:pPr>
        <w:textAlignment w:val="baseline"/>
        <w:rPr>
          <w:rFonts w:ascii="Segoe UI" w:hAnsi="Segoe UI" w:cs="Segoe UI"/>
          <w:sz w:val="18"/>
          <w:szCs w:val="18"/>
        </w:rPr>
      </w:pPr>
      <w:r w:rsidRPr="00836DFF">
        <w:t>Telefon: </w:t>
      </w:r>
      <w:proofErr w:type="spellStart"/>
      <w:r w:rsidRPr="00836DFF">
        <w:t>xxxxxxxxx</w:t>
      </w:r>
      <w:proofErr w:type="spellEnd"/>
      <w:r w:rsidRPr="00836DFF">
        <w:t> </w:t>
      </w:r>
    </w:p>
    <w:p w14:paraId="6083A28B" w14:textId="77777777" w:rsidR="00836DFF" w:rsidRPr="00836DFF" w:rsidRDefault="00836DFF" w:rsidP="00836DFF">
      <w:pPr>
        <w:textAlignment w:val="baseline"/>
        <w:rPr>
          <w:rFonts w:ascii="Segoe UI" w:hAnsi="Segoe UI" w:cs="Segoe UI"/>
          <w:sz w:val="18"/>
          <w:szCs w:val="18"/>
        </w:rPr>
      </w:pPr>
      <w:r w:rsidRPr="00836DFF">
        <w:t>Kontaktní osoba: </w:t>
      </w:r>
      <w:proofErr w:type="spellStart"/>
      <w:r w:rsidRPr="00836DFF">
        <w:t>xxxxxxxx</w:t>
      </w:r>
      <w:proofErr w:type="spellEnd"/>
      <w:r w:rsidRPr="00836DFF">
        <w:t> </w:t>
      </w:r>
    </w:p>
    <w:p w14:paraId="34FF92C0" w14:textId="77777777" w:rsidR="00836DFF" w:rsidRPr="00836DFF" w:rsidRDefault="00836DFF" w:rsidP="00836DFF">
      <w:pPr>
        <w:textAlignment w:val="baseline"/>
        <w:rPr>
          <w:rFonts w:ascii="Segoe UI" w:hAnsi="Segoe UI" w:cs="Segoe UI"/>
          <w:sz w:val="18"/>
          <w:szCs w:val="18"/>
        </w:rPr>
      </w:pPr>
      <w:r w:rsidRPr="00836DFF">
        <w:t>E-mail: </w:t>
      </w:r>
      <w:proofErr w:type="spellStart"/>
      <w:r w:rsidRPr="00836DFF">
        <w:t>xxxxxxxxx</w:t>
      </w:r>
      <w:proofErr w:type="spellEnd"/>
      <w:r w:rsidRPr="00836DFF">
        <w:t> </w:t>
      </w:r>
    </w:p>
    <w:p w14:paraId="4BADAAF0" w14:textId="77777777" w:rsidR="00836DFF" w:rsidRPr="00836DFF" w:rsidRDefault="00836DFF" w:rsidP="00836DFF">
      <w:pPr>
        <w:textAlignment w:val="baseline"/>
        <w:rPr>
          <w:rFonts w:ascii="Segoe UI" w:hAnsi="Segoe UI" w:cs="Segoe UI"/>
          <w:sz w:val="18"/>
          <w:szCs w:val="18"/>
        </w:rPr>
      </w:pPr>
      <w:r w:rsidRPr="00836DFF">
        <w:t>(dále jen „</w:t>
      </w:r>
      <w:r w:rsidRPr="00836DFF">
        <w:rPr>
          <w:b/>
          <w:bCs/>
        </w:rPr>
        <w:t>Zhotovitel</w:t>
      </w:r>
      <w:r w:rsidRPr="00836DFF">
        <w:t>“) </w:t>
      </w:r>
    </w:p>
    <w:p w14:paraId="32FFA177" w14:textId="77777777" w:rsidR="00836DFF" w:rsidRPr="00836DFF" w:rsidRDefault="00836DFF" w:rsidP="00836DFF">
      <w:pPr>
        <w:jc w:val="center"/>
        <w:rPr>
          <w:b/>
          <w:bCs/>
          <w:sz w:val="22"/>
          <w:szCs w:val="22"/>
        </w:rPr>
      </w:pPr>
      <w:r w:rsidRPr="00836DFF">
        <w:rPr>
          <w:b/>
          <w:bCs/>
          <w:sz w:val="22"/>
          <w:szCs w:val="22"/>
        </w:rPr>
        <w:lastRenderedPageBreak/>
        <w:t>I. Předmět smlouvy</w:t>
      </w:r>
    </w:p>
    <w:p w14:paraId="13E22734" w14:textId="251B4307" w:rsidR="00836DFF" w:rsidRPr="00836DFF" w:rsidRDefault="00836DFF" w:rsidP="000401B4">
      <w:pPr>
        <w:numPr>
          <w:ilvl w:val="0"/>
          <w:numId w:val="15"/>
        </w:numPr>
        <w:spacing w:before="120"/>
        <w:jc w:val="both"/>
      </w:pPr>
      <w:r w:rsidRPr="00836DFF">
        <w:t xml:space="preserve">Zhotovitel se touto smlouvou zavazuje provést pro Objednatele řádně a včas, na své náklady a nebezpečí dílo spočívající </w:t>
      </w:r>
      <w:r w:rsidR="00B11F6A" w:rsidRPr="00B11F6A">
        <w:t>ve zpracování a dodání dat o mobilitě osob v Brně a okolí vycházejících z geolokačních signalizačních dat mobilního operátora, získaných pasivním přístupem určení polohy zařízení, v souladu s přílohou této smlouvy</w:t>
      </w:r>
      <w:r w:rsidRPr="00836DFF">
        <w:t xml:space="preserve"> (dále jen „dílo“) a Objednatel</w:t>
      </w:r>
      <w:r w:rsidR="00B11F6A" w:rsidRPr="00B11F6A">
        <w:t>é</w:t>
      </w:r>
      <w:r w:rsidRPr="00836DFF">
        <w:t xml:space="preserve"> se zavazuj</w:t>
      </w:r>
      <w:r w:rsidR="00B11F6A" w:rsidRPr="00B11F6A">
        <w:t>í</w:t>
      </w:r>
      <w:r w:rsidRPr="00836DFF">
        <w:t xml:space="preserve"> provedené dílo převzít a zaplatit Zhotoviteli cenu ve výši a za podmínek sjednaných v této smlouvě. </w:t>
      </w:r>
    </w:p>
    <w:p w14:paraId="287F8E1E" w14:textId="3A8D3F6D" w:rsidR="00836DFF" w:rsidRPr="00836DFF" w:rsidRDefault="00836DFF" w:rsidP="000401B4">
      <w:pPr>
        <w:numPr>
          <w:ilvl w:val="0"/>
          <w:numId w:val="15"/>
        </w:numPr>
        <w:spacing w:before="120"/>
        <w:jc w:val="both"/>
        <w:rPr>
          <w:bCs/>
          <w:caps/>
        </w:rPr>
      </w:pPr>
      <w:r w:rsidRPr="00836DFF">
        <w:t>Tato smlouva byla uzavřena na základě veřejné zakázky malého rozsahu s názvem</w:t>
      </w:r>
      <w:r w:rsidRPr="00836DFF">
        <w:rPr>
          <w:bCs/>
          <w:caps/>
        </w:rPr>
        <w:t xml:space="preserve"> „</w:t>
      </w:r>
      <w:r w:rsidR="00B11F6A">
        <w:rPr>
          <w:b/>
          <w:bCs/>
        </w:rPr>
        <w:t>Pohyb obyvatel v Brně dle dat mobilního operátora</w:t>
      </w:r>
      <w:r w:rsidRPr="00836DFF">
        <w:rPr>
          <w:bCs/>
          <w:caps/>
        </w:rPr>
        <w:t xml:space="preserve">“, </w:t>
      </w:r>
      <w:r w:rsidRPr="00836DFF">
        <w:t>jejíž zadávací dokumentace je veřejně dostupná na profilu zadavatele</w:t>
      </w:r>
      <w:r w:rsidR="004F1DCF">
        <w:t>.</w:t>
      </w:r>
      <w:r w:rsidRPr="00836DFF">
        <w:t xml:space="preserve"> Zhotovitel se zavazuje, že dílo provede i v souladu se svou předloženou nabídkou v rámci této veřejné zakázky a v souladu s předmětnou zadávací dokumentací.</w:t>
      </w:r>
    </w:p>
    <w:p w14:paraId="407BCAC6" w14:textId="77777777" w:rsidR="00836DFF" w:rsidRPr="00836DFF" w:rsidRDefault="00836DFF" w:rsidP="00836DFF">
      <w:pPr>
        <w:spacing w:before="120"/>
        <w:ind w:left="360"/>
        <w:jc w:val="both"/>
        <w:rPr>
          <w:sz w:val="22"/>
          <w:szCs w:val="22"/>
        </w:rPr>
      </w:pPr>
    </w:p>
    <w:p w14:paraId="681ED868" w14:textId="77777777" w:rsidR="00836DFF" w:rsidRPr="00836DFF" w:rsidRDefault="00836DFF" w:rsidP="00836DFF">
      <w:pPr>
        <w:jc w:val="center"/>
        <w:rPr>
          <w:b/>
          <w:bCs/>
          <w:sz w:val="22"/>
          <w:szCs w:val="22"/>
        </w:rPr>
      </w:pPr>
      <w:r w:rsidRPr="00836DFF">
        <w:rPr>
          <w:b/>
          <w:bCs/>
          <w:sz w:val="22"/>
          <w:szCs w:val="22"/>
        </w:rPr>
        <w:t xml:space="preserve">II. Dílo a provedení díla  </w:t>
      </w:r>
    </w:p>
    <w:p w14:paraId="0260FCC1" w14:textId="77777777" w:rsidR="00836DFF" w:rsidRPr="00836DFF" w:rsidRDefault="00836DFF" w:rsidP="000401B4">
      <w:pPr>
        <w:numPr>
          <w:ilvl w:val="0"/>
          <w:numId w:val="16"/>
        </w:numPr>
        <w:spacing w:before="120"/>
        <w:jc w:val="both"/>
      </w:pPr>
      <w:r w:rsidRPr="00836DFF">
        <w:t xml:space="preserve">Zhotovitel se zavazuje provést dílo osobně, s odbornou péčí, v rozsahu a kvalitě podle této smlouvy. </w:t>
      </w:r>
    </w:p>
    <w:p w14:paraId="5DCD2BF6" w14:textId="03214102" w:rsidR="00836DFF" w:rsidRPr="00836DFF" w:rsidRDefault="00836DFF" w:rsidP="000401B4">
      <w:pPr>
        <w:numPr>
          <w:ilvl w:val="0"/>
          <w:numId w:val="16"/>
        </w:numPr>
        <w:spacing w:before="120"/>
        <w:jc w:val="both"/>
      </w:pPr>
      <w:r w:rsidRPr="00836DFF">
        <w:t>Zhotovitel splní svou povinnost provést dílo jeho řádným ukončením a protokolárním předáním předmětu d</w:t>
      </w:r>
      <w:r w:rsidRPr="00496F01">
        <w:t>íla Objednatel</w:t>
      </w:r>
      <w:r w:rsidR="00496F01" w:rsidRPr="00496F01">
        <w:t>ům.</w:t>
      </w:r>
      <w:r w:rsidR="00B11F6A" w:rsidRPr="00496F01">
        <w:t xml:space="preserve"> </w:t>
      </w:r>
      <w:r w:rsidRPr="00836DFF">
        <w:t xml:space="preserve">Dílo se považuje za řádně ukončené, bude-li provedeno v souladu s touto smlouvou, bude bez vad a budou-li k němu ze strany Zhotovitele poskytnuta další plnění dle této smlouvy, zejména bude-li k němu dodána dokumentace vyžadovaná touto smlouvou. </w:t>
      </w:r>
    </w:p>
    <w:p w14:paraId="231C70E3" w14:textId="77777777" w:rsidR="00836DFF" w:rsidRPr="00836DFF" w:rsidRDefault="00836DFF" w:rsidP="000401B4">
      <w:pPr>
        <w:numPr>
          <w:ilvl w:val="0"/>
          <w:numId w:val="16"/>
        </w:numPr>
        <w:spacing w:before="120"/>
        <w:jc w:val="both"/>
      </w:pPr>
      <w:r w:rsidRPr="00836DFF">
        <w:t xml:space="preserve">Zhotovitel se zavazuje opatřit vše, co je zapotřebí k provedení díla podle této smlouvy. </w:t>
      </w:r>
    </w:p>
    <w:p w14:paraId="152369E4" w14:textId="63E3397C" w:rsidR="00836DFF" w:rsidRPr="00836DFF" w:rsidRDefault="00836DFF" w:rsidP="000401B4">
      <w:pPr>
        <w:numPr>
          <w:ilvl w:val="0"/>
          <w:numId w:val="16"/>
        </w:numPr>
        <w:spacing w:before="120"/>
        <w:jc w:val="both"/>
      </w:pPr>
      <w:r w:rsidRPr="00836DFF">
        <w:t>Zhotovitel je vázán příkazy Objednatel</w:t>
      </w:r>
      <w:r w:rsidR="00B11F6A">
        <w:t>ů</w:t>
      </w:r>
      <w:r w:rsidRPr="00836DFF">
        <w:t xml:space="preserve"> ohledně způsobu provádění díla. </w:t>
      </w:r>
    </w:p>
    <w:p w14:paraId="0AA216DD" w14:textId="77777777" w:rsidR="00836DFF" w:rsidRPr="00836DFF" w:rsidRDefault="00836DFF" w:rsidP="000401B4">
      <w:pPr>
        <w:numPr>
          <w:ilvl w:val="0"/>
          <w:numId w:val="16"/>
        </w:numPr>
        <w:spacing w:before="120"/>
        <w:jc w:val="both"/>
      </w:pPr>
      <w:r w:rsidRPr="00836DFF">
        <w:t xml:space="preserve">Dílo podle této smlouvy bude provedeno ve lhůtě v souladu s čl. V.     </w:t>
      </w:r>
    </w:p>
    <w:p w14:paraId="0753D742" w14:textId="77777777" w:rsidR="00836DFF" w:rsidRPr="00836DFF" w:rsidRDefault="00836DFF" w:rsidP="00836DFF">
      <w:pPr>
        <w:jc w:val="both"/>
        <w:rPr>
          <w:sz w:val="22"/>
          <w:szCs w:val="22"/>
          <w:u w:val="single"/>
        </w:rPr>
      </w:pPr>
    </w:p>
    <w:p w14:paraId="3675B094" w14:textId="77777777" w:rsidR="00836DFF" w:rsidRPr="00836DFF" w:rsidRDefault="00836DFF" w:rsidP="00836DFF">
      <w:pPr>
        <w:jc w:val="center"/>
        <w:rPr>
          <w:b/>
          <w:bCs/>
          <w:sz w:val="22"/>
          <w:szCs w:val="22"/>
        </w:rPr>
      </w:pPr>
      <w:r w:rsidRPr="00836DFF">
        <w:rPr>
          <w:b/>
          <w:bCs/>
          <w:sz w:val="22"/>
          <w:szCs w:val="22"/>
        </w:rPr>
        <w:t>III. Cena díla</w:t>
      </w:r>
    </w:p>
    <w:p w14:paraId="5C04010B" w14:textId="67B0672F" w:rsidR="00836DFF" w:rsidRPr="00836DFF" w:rsidRDefault="00836DFF" w:rsidP="000401B4">
      <w:pPr>
        <w:numPr>
          <w:ilvl w:val="0"/>
          <w:numId w:val="17"/>
        </w:numPr>
        <w:spacing w:before="120"/>
        <w:jc w:val="both"/>
      </w:pPr>
      <w:r w:rsidRPr="00836DFF">
        <w:t>Objednatel</w:t>
      </w:r>
      <w:r w:rsidR="00B11F6A">
        <w:t>é</w:t>
      </w:r>
      <w:r w:rsidRPr="00836DFF">
        <w:t xml:space="preserve"> se zavazuj</w:t>
      </w:r>
      <w:r w:rsidR="00B11F6A">
        <w:t>í</w:t>
      </w:r>
      <w:r w:rsidRPr="00836DFF">
        <w:t xml:space="preserve"> zaplatit Zhotoviteli za dílo provedené v souladu s touto smlouvou cenu dle níže uvedené tabulky: </w:t>
      </w:r>
    </w:p>
    <w:p w14:paraId="20A8F6B0" w14:textId="77777777" w:rsidR="00836DFF" w:rsidRPr="00836DFF" w:rsidRDefault="00836DFF" w:rsidP="00836DFF">
      <w:pPr>
        <w:suppressAutoHyphens/>
        <w:autoSpaceDN w:val="0"/>
        <w:textAlignment w:val="baseline"/>
        <w:rPr>
          <w:rFonts w:ascii="Calibri" w:eastAsia="Calibri" w:hAnsi="Calibri"/>
          <w:sz w:val="16"/>
          <w:szCs w:val="16"/>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1"/>
        <w:gridCol w:w="2169"/>
        <w:gridCol w:w="1843"/>
        <w:gridCol w:w="2693"/>
      </w:tblGrid>
      <w:tr w:rsidR="00836DFF" w:rsidRPr="00836DFF" w14:paraId="1D21B9D9" w14:textId="77777777" w:rsidTr="0036027E">
        <w:trPr>
          <w:trHeight w:val="531"/>
        </w:trPr>
        <w:tc>
          <w:tcPr>
            <w:tcW w:w="1941" w:type="dxa"/>
            <w:tcBorders>
              <w:top w:val="single" w:sz="4" w:space="0" w:color="auto"/>
              <w:left w:val="single" w:sz="4" w:space="0" w:color="auto"/>
              <w:bottom w:val="single" w:sz="4" w:space="0" w:color="auto"/>
              <w:right w:val="single" w:sz="4" w:space="0" w:color="auto"/>
            </w:tcBorders>
            <w:vAlign w:val="center"/>
          </w:tcPr>
          <w:p w14:paraId="0D0C82CD" w14:textId="77777777" w:rsidR="00836DFF" w:rsidRPr="00836DFF" w:rsidRDefault="00836DFF" w:rsidP="00836DFF"/>
        </w:tc>
        <w:tc>
          <w:tcPr>
            <w:tcW w:w="2169" w:type="dxa"/>
            <w:tcBorders>
              <w:top w:val="single" w:sz="4" w:space="0" w:color="auto"/>
              <w:left w:val="single" w:sz="4" w:space="0" w:color="auto"/>
              <w:bottom w:val="single" w:sz="4" w:space="0" w:color="auto"/>
              <w:right w:val="single" w:sz="4" w:space="0" w:color="auto"/>
            </w:tcBorders>
            <w:vAlign w:val="center"/>
          </w:tcPr>
          <w:p w14:paraId="3402A32D" w14:textId="13FCCA41" w:rsidR="00836DFF" w:rsidRPr="00836DFF" w:rsidRDefault="00836DFF" w:rsidP="00836DFF">
            <w:pPr>
              <w:jc w:val="center"/>
            </w:pPr>
            <w:r w:rsidRPr="00836DFF">
              <w:t>bez DPH v Kč</w:t>
            </w:r>
          </w:p>
        </w:tc>
        <w:tc>
          <w:tcPr>
            <w:tcW w:w="1843" w:type="dxa"/>
            <w:tcBorders>
              <w:top w:val="single" w:sz="4" w:space="0" w:color="auto"/>
              <w:left w:val="single" w:sz="4" w:space="0" w:color="auto"/>
              <w:bottom w:val="single" w:sz="4" w:space="0" w:color="auto"/>
              <w:right w:val="single" w:sz="4" w:space="0" w:color="auto"/>
            </w:tcBorders>
            <w:vAlign w:val="center"/>
          </w:tcPr>
          <w:p w14:paraId="643AD1BB" w14:textId="77777777" w:rsidR="00836DFF" w:rsidRPr="00836DFF" w:rsidRDefault="00836DFF" w:rsidP="00836DFF">
            <w:pPr>
              <w:jc w:val="center"/>
            </w:pPr>
            <w:r w:rsidRPr="00836DFF">
              <w:t>DPH v Kč</w:t>
            </w:r>
          </w:p>
        </w:tc>
        <w:tc>
          <w:tcPr>
            <w:tcW w:w="2693" w:type="dxa"/>
            <w:tcBorders>
              <w:top w:val="single" w:sz="4" w:space="0" w:color="auto"/>
              <w:left w:val="single" w:sz="4" w:space="0" w:color="auto"/>
              <w:bottom w:val="single" w:sz="4" w:space="0" w:color="auto"/>
              <w:right w:val="single" w:sz="4" w:space="0" w:color="auto"/>
            </w:tcBorders>
            <w:vAlign w:val="center"/>
          </w:tcPr>
          <w:p w14:paraId="3F8CF1B6" w14:textId="63E7CCA5" w:rsidR="00836DFF" w:rsidRPr="00836DFF" w:rsidRDefault="00836DFF" w:rsidP="00836DFF">
            <w:pPr>
              <w:jc w:val="center"/>
            </w:pPr>
            <w:r w:rsidRPr="00836DFF">
              <w:t>včetně DPH v Kč</w:t>
            </w:r>
          </w:p>
        </w:tc>
      </w:tr>
      <w:tr w:rsidR="00836DFF" w:rsidRPr="00836DFF" w14:paraId="454DF0E6" w14:textId="77777777" w:rsidTr="0036027E">
        <w:trPr>
          <w:trHeight w:val="402"/>
        </w:trPr>
        <w:tc>
          <w:tcPr>
            <w:tcW w:w="1941" w:type="dxa"/>
            <w:tcBorders>
              <w:top w:val="single" w:sz="4" w:space="0" w:color="auto"/>
              <w:left w:val="single" w:sz="4" w:space="0" w:color="auto"/>
              <w:bottom w:val="single" w:sz="4" w:space="0" w:color="auto"/>
              <w:right w:val="single" w:sz="4" w:space="0" w:color="auto"/>
            </w:tcBorders>
            <w:vAlign w:val="center"/>
          </w:tcPr>
          <w:p w14:paraId="29B32EC3" w14:textId="60395EF5" w:rsidR="00836DFF" w:rsidRPr="00836DFF" w:rsidRDefault="00836DFF" w:rsidP="00836DFF">
            <w:pPr>
              <w:rPr>
                <w:b/>
              </w:rPr>
            </w:pPr>
            <w:r w:rsidRPr="00836DFF">
              <w:rPr>
                <w:b/>
              </w:rPr>
              <w:t>Cena</w:t>
            </w:r>
            <w:r w:rsidR="00B11F6A">
              <w:rPr>
                <w:b/>
              </w:rPr>
              <w:t>:</w:t>
            </w:r>
          </w:p>
        </w:tc>
        <w:tc>
          <w:tcPr>
            <w:tcW w:w="2169" w:type="dxa"/>
            <w:tcBorders>
              <w:top w:val="single" w:sz="4" w:space="0" w:color="auto"/>
              <w:left w:val="single" w:sz="4" w:space="0" w:color="auto"/>
              <w:bottom w:val="single" w:sz="4" w:space="0" w:color="auto"/>
              <w:right w:val="single" w:sz="4" w:space="0" w:color="auto"/>
            </w:tcBorders>
            <w:vAlign w:val="center"/>
          </w:tcPr>
          <w:p w14:paraId="5A15C083" w14:textId="77777777" w:rsidR="00836DFF" w:rsidRPr="00836DFF" w:rsidRDefault="00836DFF" w:rsidP="00836DFF">
            <w:pPr>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0F873AFC" w14:textId="77777777" w:rsidR="00836DFF" w:rsidRPr="00836DFF" w:rsidRDefault="00836DFF" w:rsidP="00836DFF">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51EE7D68" w14:textId="77777777" w:rsidR="00836DFF" w:rsidRPr="00836DFF" w:rsidRDefault="00836DFF" w:rsidP="00836DFF">
            <w:pPr>
              <w:jc w:val="center"/>
              <w:rPr>
                <w:b/>
              </w:rPr>
            </w:pPr>
          </w:p>
        </w:tc>
      </w:tr>
    </w:tbl>
    <w:p w14:paraId="5A1F7388" w14:textId="5AF0619C" w:rsidR="00836DFF" w:rsidRPr="00836DFF" w:rsidRDefault="00836DFF" w:rsidP="000401B4">
      <w:pPr>
        <w:numPr>
          <w:ilvl w:val="0"/>
          <w:numId w:val="17"/>
        </w:numPr>
        <w:spacing w:before="120"/>
        <w:jc w:val="both"/>
      </w:pPr>
      <w:r w:rsidRPr="00836DFF">
        <w:t>Cena za dílo uvedená výše, je pevnou cenou a očekávaný vývoj cen k datu předání díla. </w:t>
      </w:r>
    </w:p>
    <w:p w14:paraId="03A0094B" w14:textId="77777777" w:rsidR="00836DFF" w:rsidRPr="00836DFF" w:rsidRDefault="00836DFF" w:rsidP="000401B4">
      <w:pPr>
        <w:numPr>
          <w:ilvl w:val="0"/>
          <w:numId w:val="17"/>
        </w:numPr>
        <w:spacing w:before="120"/>
        <w:jc w:val="both"/>
      </w:pPr>
      <w:r w:rsidRPr="00836DFF">
        <w:t>Smluvní strany si ujednávají, že kupní cena za věci obstarané Zhotovitelem pro účely provedení díla je zahrnuta v ceně a cena nebude po dobu trvání této smlouvy žádným způsobem upravována. Na výši ceny nemá žádný vliv výše vynaložených nákladů souvisejících s provedením díla ani jakýchkoliv jiných nákladů či poplatků, k jejichž úhradě je Zhotovitel na základě této smlouvy či obecně závazných právních předpisů povinen.  </w:t>
      </w:r>
    </w:p>
    <w:p w14:paraId="2D913067" w14:textId="77777777" w:rsidR="00836DFF" w:rsidRPr="00836DFF" w:rsidRDefault="00836DFF" w:rsidP="000401B4">
      <w:pPr>
        <w:numPr>
          <w:ilvl w:val="0"/>
          <w:numId w:val="17"/>
        </w:numPr>
        <w:spacing w:before="120"/>
        <w:jc w:val="both"/>
      </w:pPr>
      <w:r w:rsidRPr="00836DFF">
        <w:t>Sjednaná cena může být změněna pouze, pokud po podpisu smlouvy a před termínem dokončení díla, resp. jedné z jeho etap, dojde ke změnám sazeb DPH, v takovém případě bude cena za dílo upravena podle sazeb DPH platných v době vzniku zdanitelného plnění. </w:t>
      </w:r>
    </w:p>
    <w:p w14:paraId="35FAB510" w14:textId="77777777" w:rsidR="00836DFF" w:rsidRPr="00836DFF" w:rsidRDefault="00836DFF" w:rsidP="000401B4">
      <w:pPr>
        <w:numPr>
          <w:ilvl w:val="0"/>
          <w:numId w:val="17"/>
        </w:numPr>
        <w:spacing w:before="120"/>
        <w:jc w:val="both"/>
      </w:pPr>
      <w:r w:rsidRPr="00836DFF">
        <w:t>V případě víceprací lze nárokovat pouze změny, kdy se jedná o objektivně nepředvídatelné náklady, a tyto dodatečné práce jsou nezbytné pro provedení původních prací. </w:t>
      </w:r>
    </w:p>
    <w:p w14:paraId="6E00F1E3" w14:textId="63CFD272" w:rsidR="00836DFF" w:rsidRPr="00836DFF" w:rsidRDefault="00836DFF" w:rsidP="000401B4">
      <w:pPr>
        <w:numPr>
          <w:ilvl w:val="0"/>
          <w:numId w:val="17"/>
        </w:numPr>
        <w:spacing w:before="120"/>
        <w:jc w:val="both"/>
      </w:pPr>
      <w:r w:rsidRPr="00836DFF">
        <w:lastRenderedPageBreak/>
        <w:t>Nastane-li některá z podmínek, za kterých je možná změna sjednané ceny, je Zhotovitel povinen provést výpočet změny ceny díla a předložit jej Objednatel</w:t>
      </w:r>
      <w:r w:rsidR="00610598">
        <w:t>ům</w:t>
      </w:r>
      <w:r w:rsidRPr="00836DFF">
        <w:t xml:space="preserve"> k posouzení. Zhotoviteli vzniká právo na zvýšení sjednané ceny teprve v případě, že změna bude odsouhlasena Objednatel</w:t>
      </w:r>
      <w:r w:rsidR="00610598">
        <w:t>i</w:t>
      </w:r>
      <w:r w:rsidRPr="00836DFF">
        <w:t>. Objednatel</w:t>
      </w:r>
      <w:r w:rsidR="00610598">
        <w:t>é jsou</w:t>
      </w:r>
      <w:r w:rsidRPr="00836DFF">
        <w:t xml:space="preserve"> </w:t>
      </w:r>
      <w:r w:rsidR="00610598" w:rsidRPr="00836DFF">
        <w:t>povin</w:t>
      </w:r>
      <w:r w:rsidR="00610598">
        <w:t>ni</w:t>
      </w:r>
      <w:r w:rsidRPr="00836DFF">
        <w:t xml:space="preserve"> vyjádřit se k návrhu Zhotovitele do 10 dnů ode dne předložení návrhu Zhotovitele. </w:t>
      </w:r>
      <w:r w:rsidR="00610598">
        <w:t xml:space="preserve">Smluvní </w:t>
      </w:r>
      <w:r w:rsidRPr="00836DFF">
        <w:t>strany následně změnu sjednané ceny písemně dohodnou formou dodatku ke smlouvě.   </w:t>
      </w:r>
    </w:p>
    <w:p w14:paraId="354C91D1" w14:textId="77777777" w:rsidR="00836DFF" w:rsidRPr="00836DFF" w:rsidRDefault="00836DFF" w:rsidP="00836DFF">
      <w:pPr>
        <w:spacing w:after="160" w:line="259" w:lineRule="auto"/>
      </w:pPr>
    </w:p>
    <w:p w14:paraId="18A2DECA" w14:textId="36C93ECC" w:rsidR="00836DFF" w:rsidRPr="00836DFF" w:rsidRDefault="00836DFF" w:rsidP="00610598">
      <w:pPr>
        <w:jc w:val="center"/>
        <w:rPr>
          <w:b/>
          <w:bCs/>
          <w:sz w:val="22"/>
          <w:szCs w:val="22"/>
        </w:rPr>
      </w:pPr>
      <w:r w:rsidRPr="00836DFF">
        <w:rPr>
          <w:b/>
          <w:bCs/>
          <w:sz w:val="22"/>
          <w:szCs w:val="22"/>
        </w:rPr>
        <w:t>IV. Platební podmínky </w:t>
      </w:r>
    </w:p>
    <w:p w14:paraId="3B49B63D" w14:textId="30F38C1D" w:rsidR="00836DFF" w:rsidRPr="00836DFF" w:rsidRDefault="00836DFF" w:rsidP="002170C6">
      <w:pPr>
        <w:numPr>
          <w:ilvl w:val="0"/>
          <w:numId w:val="18"/>
        </w:numPr>
        <w:spacing w:before="120"/>
        <w:jc w:val="both"/>
      </w:pPr>
      <w:r w:rsidRPr="00836DFF">
        <w:t>Objednatel</w:t>
      </w:r>
      <w:r w:rsidR="00610598">
        <w:t>é</w:t>
      </w:r>
      <w:r w:rsidRPr="00836DFF">
        <w:t xml:space="preserve"> se zavazuj</w:t>
      </w:r>
      <w:r w:rsidR="00496F01">
        <w:t>í</w:t>
      </w:r>
      <w:r w:rsidRPr="00836DFF">
        <w:t xml:space="preserve"> uhradit cenu za zhotovení díla podle čl. III. odst. </w:t>
      </w:r>
      <w:r w:rsidR="00610598">
        <w:t>1</w:t>
      </w:r>
      <w:r w:rsidRPr="00836DFF">
        <w:t xml:space="preserve"> této smlouvy na základě faktur, které je Zhotovitel oprávněn vystavit na základě protokolu o předání a převzetí </w:t>
      </w:r>
      <w:r w:rsidR="00610598">
        <w:t>díla</w:t>
      </w:r>
      <w:r w:rsidR="002170C6">
        <w:t xml:space="preserve"> (dále jen „protokol o předání“)</w:t>
      </w:r>
      <w:r w:rsidRPr="00836DFF">
        <w:t xml:space="preserve">, a to v termínech dle čl. V. odst. 1 této smlouvy. </w:t>
      </w:r>
      <w:r w:rsidR="00610598" w:rsidRPr="00496F01">
        <w:t xml:space="preserve">Zhotovitel vystaví dvě faktury, každou na jednoho </w:t>
      </w:r>
      <w:r w:rsidR="00065893" w:rsidRPr="00496F01">
        <w:t>objednatele</w:t>
      </w:r>
      <w:r w:rsidR="00610598" w:rsidRPr="00496F01">
        <w:t xml:space="preserve">, přičemž na Objednatele č. 1 bude fakturováno </w:t>
      </w:r>
      <w:r w:rsidR="005D7ABD" w:rsidRPr="001B4AB4">
        <w:t>44</w:t>
      </w:r>
      <w:r w:rsidR="00610598" w:rsidRPr="00496F01">
        <w:t xml:space="preserve"> % z celkové částky a na Objednatele č. 2 bude fakturováno </w:t>
      </w:r>
      <w:r w:rsidR="005D7ABD" w:rsidRPr="001B4AB4">
        <w:t>56</w:t>
      </w:r>
      <w:r w:rsidR="00610598" w:rsidRPr="00496F01">
        <w:t> % z celkové</w:t>
      </w:r>
      <w:r w:rsidR="00610598">
        <w:t xml:space="preserve"> částky. </w:t>
      </w:r>
      <w:r w:rsidRPr="00836DFF">
        <w:t xml:space="preserve">Lhůta splatnosti faktur se sjednává na 21 dnů ode dne doručení </w:t>
      </w:r>
      <w:r w:rsidR="00610598">
        <w:t xml:space="preserve">každému z </w:t>
      </w:r>
      <w:r w:rsidRPr="00836DFF">
        <w:t>Objednatel</w:t>
      </w:r>
      <w:r w:rsidR="00610598">
        <w:t>ů</w:t>
      </w:r>
      <w:r w:rsidRPr="00836DFF">
        <w:t xml:space="preserve">. </w:t>
      </w:r>
    </w:p>
    <w:p w14:paraId="15E1073F" w14:textId="0A52FE58" w:rsidR="00836DFF" w:rsidRPr="00836DFF" w:rsidRDefault="00836DFF" w:rsidP="000401B4">
      <w:pPr>
        <w:numPr>
          <w:ilvl w:val="0"/>
          <w:numId w:val="18"/>
        </w:numPr>
        <w:spacing w:before="120"/>
        <w:jc w:val="both"/>
      </w:pPr>
      <w:r w:rsidRPr="00836DFF">
        <w:t xml:space="preserve">Faktura bude zaslána na adresu Oddělení </w:t>
      </w:r>
      <w:r w:rsidR="00610598">
        <w:t>data, analýz a evaluací</w:t>
      </w:r>
      <w:r w:rsidRPr="00836DFF">
        <w:t xml:space="preserve"> Odbor</w:t>
      </w:r>
      <w:r w:rsidR="00610598">
        <w:t>u</w:t>
      </w:r>
      <w:r w:rsidRPr="00836DFF">
        <w:t xml:space="preserve"> strategického rozvoje a spolupráce M</w:t>
      </w:r>
      <w:r w:rsidR="00610598">
        <w:t>agistrátu města Brna</w:t>
      </w:r>
      <w:r w:rsidRPr="00836DFF">
        <w:t>, Husova 12, 601 67 Brno, nebo elektronicky datovou zprávou (id datové schránky: a7kbrrn) s výše uvedeným označením útvaru MMB</w:t>
      </w:r>
      <w:r w:rsidR="00496F01">
        <w:t>, a na adresu Objednatel č. 2 – Kancelář architekta města Brna, příspěvková organizace, Zelný trh 331/13, 602 00 Brno.</w:t>
      </w:r>
    </w:p>
    <w:p w14:paraId="74DFC17E" w14:textId="4F21AD3E" w:rsidR="00836DFF" w:rsidRPr="00836DFF" w:rsidRDefault="00836DFF" w:rsidP="000401B4">
      <w:pPr>
        <w:numPr>
          <w:ilvl w:val="0"/>
          <w:numId w:val="18"/>
        </w:numPr>
        <w:spacing w:before="120"/>
        <w:jc w:val="both"/>
      </w:pPr>
      <w:r w:rsidRPr="00836DFF">
        <w:t xml:space="preserve">Daňový doklad (faktura) musí obsahovat všechny náležitosti účetního a daňového dokladu, především dle §29 zákona č. 235/2004 Sb., o dani z přidané hodnoty, ve znění pozdějších předpisů (dále jen „ZDPH“), a to zejména: </w:t>
      </w:r>
    </w:p>
    <w:p w14:paraId="470EF529" w14:textId="77777777" w:rsidR="00836DFF" w:rsidRPr="00836DFF" w:rsidRDefault="00836DFF" w:rsidP="000401B4">
      <w:pPr>
        <w:numPr>
          <w:ilvl w:val="1"/>
          <w:numId w:val="19"/>
        </w:numPr>
        <w:spacing w:before="120"/>
        <w:jc w:val="both"/>
      </w:pPr>
      <w:r w:rsidRPr="00836DFF">
        <w:t xml:space="preserve">označení objednatele a zhotovitele, sídlo, IČO, DIČ, </w:t>
      </w:r>
    </w:p>
    <w:p w14:paraId="23DFFF70" w14:textId="77777777" w:rsidR="00836DFF" w:rsidRPr="00836DFF" w:rsidRDefault="00836DFF" w:rsidP="000401B4">
      <w:pPr>
        <w:numPr>
          <w:ilvl w:val="1"/>
          <w:numId w:val="19"/>
        </w:numPr>
        <w:spacing w:before="120"/>
        <w:jc w:val="both"/>
      </w:pPr>
      <w:r w:rsidRPr="00836DFF">
        <w:t xml:space="preserve">číslo faktury, </w:t>
      </w:r>
    </w:p>
    <w:p w14:paraId="6357217C" w14:textId="77777777" w:rsidR="00836DFF" w:rsidRPr="00836DFF" w:rsidRDefault="00836DFF" w:rsidP="000401B4">
      <w:pPr>
        <w:numPr>
          <w:ilvl w:val="1"/>
          <w:numId w:val="19"/>
        </w:numPr>
        <w:spacing w:before="120"/>
        <w:jc w:val="both"/>
      </w:pPr>
      <w:r w:rsidRPr="00836DFF">
        <w:t xml:space="preserve">den vystavení a den splatnosti faktury, </w:t>
      </w:r>
    </w:p>
    <w:p w14:paraId="20AC7BEC" w14:textId="77777777" w:rsidR="00836DFF" w:rsidRPr="00836DFF" w:rsidRDefault="00836DFF" w:rsidP="000401B4">
      <w:pPr>
        <w:numPr>
          <w:ilvl w:val="1"/>
          <w:numId w:val="19"/>
        </w:numPr>
        <w:spacing w:before="120"/>
        <w:jc w:val="both"/>
      </w:pPr>
      <w:r w:rsidRPr="00836DFF">
        <w:t xml:space="preserve">označení banky a čísla účtu, na který se má platit, </w:t>
      </w:r>
    </w:p>
    <w:p w14:paraId="141AD977" w14:textId="77777777" w:rsidR="00836DFF" w:rsidRPr="00836DFF" w:rsidRDefault="00836DFF" w:rsidP="000401B4">
      <w:pPr>
        <w:numPr>
          <w:ilvl w:val="1"/>
          <w:numId w:val="19"/>
        </w:numPr>
        <w:spacing w:before="120"/>
        <w:jc w:val="both"/>
      </w:pPr>
      <w:r w:rsidRPr="00836DFF">
        <w:t xml:space="preserve">označení díla, </w:t>
      </w:r>
    </w:p>
    <w:p w14:paraId="65155DB4" w14:textId="77777777" w:rsidR="00836DFF" w:rsidRPr="00836DFF" w:rsidRDefault="00836DFF" w:rsidP="000401B4">
      <w:pPr>
        <w:numPr>
          <w:ilvl w:val="1"/>
          <w:numId w:val="19"/>
        </w:numPr>
        <w:spacing w:before="120"/>
        <w:jc w:val="both"/>
      </w:pPr>
      <w:r w:rsidRPr="00836DFF">
        <w:t xml:space="preserve">číslo smlouvy o dílo objednatele, název zakázky  </w:t>
      </w:r>
    </w:p>
    <w:p w14:paraId="7FB8BA6C" w14:textId="77777777" w:rsidR="00836DFF" w:rsidRPr="00836DFF" w:rsidRDefault="00836DFF" w:rsidP="000401B4">
      <w:pPr>
        <w:numPr>
          <w:ilvl w:val="1"/>
          <w:numId w:val="19"/>
        </w:numPr>
        <w:spacing w:before="120"/>
        <w:jc w:val="both"/>
      </w:pPr>
      <w:r w:rsidRPr="00836DFF">
        <w:t xml:space="preserve">fakturovanou částku (vč. DPH platné v době fakturace), </w:t>
      </w:r>
    </w:p>
    <w:p w14:paraId="6CD4C0FC" w14:textId="77777777" w:rsidR="00836DFF" w:rsidRPr="00836DFF" w:rsidRDefault="00836DFF" w:rsidP="000401B4">
      <w:pPr>
        <w:numPr>
          <w:ilvl w:val="1"/>
          <w:numId w:val="19"/>
        </w:numPr>
        <w:spacing w:before="120"/>
        <w:jc w:val="both"/>
      </w:pPr>
      <w:r w:rsidRPr="00836DFF">
        <w:t xml:space="preserve">razítko a podpis zhotovitele nebo jím oprávněné osoby. </w:t>
      </w:r>
    </w:p>
    <w:p w14:paraId="38FC7836" w14:textId="0CC2FC2C" w:rsidR="00836DFF" w:rsidRPr="00836DFF" w:rsidRDefault="00836DFF" w:rsidP="000401B4">
      <w:pPr>
        <w:numPr>
          <w:ilvl w:val="0"/>
          <w:numId w:val="18"/>
        </w:numPr>
        <w:spacing w:before="120"/>
        <w:jc w:val="both"/>
      </w:pPr>
      <w:r w:rsidRPr="00836DFF">
        <w:t>Objednatel</w:t>
      </w:r>
      <w:r w:rsidR="00610598">
        <w:t>é jsou oprávněni</w:t>
      </w:r>
      <w:r w:rsidRPr="00836DFF">
        <w:t xml:space="preserve"> vrátit Zhotoviteli fakturu do dne její splatnosti, jestliže bude obsahovat nesprávné nebo neúplné údaje. V takovém případě se přeruší plynutí lhůty splatnosti a nová lhůta splatnosti (ve smyslu čl. IV. odst. 1) začne plynout ode dne doručení opravené faktury Objednateli. </w:t>
      </w:r>
    </w:p>
    <w:p w14:paraId="489C826A" w14:textId="25156DBD" w:rsidR="00836DFF" w:rsidRPr="00836DFF" w:rsidRDefault="00836DFF" w:rsidP="000401B4">
      <w:pPr>
        <w:numPr>
          <w:ilvl w:val="0"/>
          <w:numId w:val="18"/>
        </w:numPr>
        <w:spacing w:before="120"/>
        <w:jc w:val="both"/>
      </w:pPr>
      <w:r w:rsidRPr="00836DFF">
        <w:t>Zhotovitel se zavazuje na daňovém dokladu pro platbu ceny díla uvádět pouze bankovní účet, který určil správci daně ke zveřejnění v registru plátců a identifikovaných osob. Zhotovitel a Objednatel</w:t>
      </w:r>
      <w:r w:rsidR="00610598">
        <w:t>é</w:t>
      </w:r>
      <w:r w:rsidRPr="00836DFF">
        <w:t xml:space="preserve"> se dohodli, že pokud bude na daňovém dokladu uveden jiný bankovní účet než ten, který je zveřejněn správcem daně v registru plátců </w:t>
      </w:r>
      <w:r w:rsidR="00610598">
        <w:br/>
      </w:r>
      <w:r w:rsidRPr="00836DFF">
        <w:t>a identifikovaných osob, Objednatel</w:t>
      </w:r>
      <w:r w:rsidR="00065893">
        <w:t>é</w:t>
      </w:r>
      <w:r w:rsidRPr="00836DFF">
        <w:t xml:space="preserve"> j</w:t>
      </w:r>
      <w:r w:rsidR="00F252A2">
        <w:t>sou</w:t>
      </w:r>
      <w:r w:rsidRPr="00836DFF">
        <w:t xml:space="preserve"> oprávněn</w:t>
      </w:r>
      <w:r w:rsidR="00F252A2">
        <w:t>i</w:t>
      </w:r>
      <w:r w:rsidRPr="00836DFF">
        <w:t xml:space="preserve"> provést úhradu daňového dokladu na tento účet zveřejněný podle ZDPH a nebud</w:t>
      </w:r>
      <w:r w:rsidR="00F252A2">
        <w:t>ou</w:t>
      </w:r>
      <w:r w:rsidRPr="00836DFF">
        <w:t xml:space="preserve"> tak v prodlení s úhradou ceny díla. </w:t>
      </w:r>
    </w:p>
    <w:p w14:paraId="3743EB55" w14:textId="07A7E59F" w:rsidR="00836DFF" w:rsidRPr="00836DFF" w:rsidRDefault="00836DFF" w:rsidP="000401B4">
      <w:pPr>
        <w:numPr>
          <w:ilvl w:val="0"/>
          <w:numId w:val="18"/>
        </w:numPr>
        <w:spacing w:before="120"/>
        <w:jc w:val="both"/>
      </w:pPr>
      <w:r w:rsidRPr="00836DFF">
        <w:t>Zhotovitel je oprávněn fakturovat jen skutečně vykonané a Objednatel</w:t>
      </w:r>
      <w:r w:rsidR="00610598">
        <w:t>i</w:t>
      </w:r>
      <w:r w:rsidRPr="00836DFF">
        <w:t xml:space="preserve"> převzaté práce. </w:t>
      </w:r>
    </w:p>
    <w:p w14:paraId="793E5F07" w14:textId="55986BD0" w:rsidR="003F7F59" w:rsidRPr="00496F01" w:rsidRDefault="00836DFF" w:rsidP="003F7F59">
      <w:pPr>
        <w:numPr>
          <w:ilvl w:val="0"/>
          <w:numId w:val="18"/>
        </w:numPr>
        <w:spacing w:before="120"/>
        <w:jc w:val="both"/>
      </w:pPr>
      <w:r w:rsidRPr="00496F01">
        <w:lastRenderedPageBreak/>
        <w:t>Objednatel</w:t>
      </w:r>
      <w:r w:rsidR="00F252A2" w:rsidRPr="00496F01">
        <w:t>é</w:t>
      </w:r>
      <w:r w:rsidRPr="00496F01">
        <w:t xml:space="preserve"> nabýv</w:t>
      </w:r>
      <w:r w:rsidR="00F252A2" w:rsidRPr="00496F01">
        <w:t>ají</w:t>
      </w:r>
      <w:r w:rsidRPr="00496F01">
        <w:t xml:space="preserve"> vlastnické právo k předmětu díla jeho převzetím podle této smlouvy. Stejným okamžikem přechází na Objednatele i nebezpečí škody na věci. Po zaplacení ceny j</w:t>
      </w:r>
      <w:r w:rsidR="00F252A2" w:rsidRPr="00496F01">
        <w:t>sou</w:t>
      </w:r>
      <w:r w:rsidRPr="00496F01">
        <w:t xml:space="preserve"> Objednatel</w:t>
      </w:r>
      <w:r w:rsidR="00F252A2" w:rsidRPr="00496F01">
        <w:t>é</w:t>
      </w:r>
      <w:r w:rsidRPr="00496F01">
        <w:t xml:space="preserve"> oprávněn</w:t>
      </w:r>
      <w:r w:rsidR="00F252A2" w:rsidRPr="00496F01">
        <w:t>i</w:t>
      </w:r>
      <w:r w:rsidRPr="00496F01">
        <w:t xml:space="preserve"> dílo v neomezeném rozsahu bez souhlasu Zhotovitele poskytnout třetím osobám.</w:t>
      </w:r>
    </w:p>
    <w:p w14:paraId="1E362BD8" w14:textId="77777777" w:rsidR="003F7F59" w:rsidRPr="003F7F59" w:rsidRDefault="003F7F59" w:rsidP="00496F01">
      <w:pPr>
        <w:spacing w:before="120"/>
        <w:jc w:val="both"/>
        <w:rPr>
          <w:highlight w:val="yellow"/>
        </w:rPr>
      </w:pPr>
    </w:p>
    <w:p w14:paraId="1832911E" w14:textId="7F5A8809" w:rsidR="00836DFF" w:rsidRPr="00836DFF" w:rsidRDefault="00836DFF" w:rsidP="00836DFF">
      <w:pPr>
        <w:jc w:val="center"/>
        <w:rPr>
          <w:b/>
          <w:bCs/>
          <w:sz w:val="22"/>
          <w:szCs w:val="22"/>
        </w:rPr>
      </w:pPr>
      <w:r w:rsidRPr="00836DFF">
        <w:rPr>
          <w:b/>
          <w:bCs/>
          <w:sz w:val="22"/>
          <w:szCs w:val="22"/>
        </w:rPr>
        <w:t xml:space="preserve">V. Doba plnění </w:t>
      </w:r>
    </w:p>
    <w:p w14:paraId="763CD61D" w14:textId="313571FC" w:rsidR="00836DFF" w:rsidRPr="00836DFF" w:rsidRDefault="00836DFF" w:rsidP="000401B4">
      <w:pPr>
        <w:numPr>
          <w:ilvl w:val="0"/>
          <w:numId w:val="20"/>
        </w:numPr>
        <w:spacing w:before="120"/>
        <w:jc w:val="both"/>
      </w:pPr>
      <w:r w:rsidRPr="00836DFF">
        <w:t>Zhotovitel se zavazuje provést dílo v souladu s touto smlouvou a předat dílo Objednatel</w:t>
      </w:r>
      <w:r w:rsidR="00EB6D73">
        <w:t>ům</w:t>
      </w:r>
      <w:r w:rsidRPr="00836DFF">
        <w:t xml:space="preserve"> v</w:t>
      </w:r>
      <w:r w:rsidR="00610598">
        <w:t xml:space="preserve"> termínu </w:t>
      </w:r>
      <w:r w:rsidR="00610598" w:rsidRPr="00496F01">
        <w:t xml:space="preserve">do </w:t>
      </w:r>
      <w:r w:rsidR="00610598" w:rsidRPr="001B4AB4">
        <w:t>1</w:t>
      </w:r>
      <w:r w:rsidR="00042E54" w:rsidRPr="001B4AB4">
        <w:t>0</w:t>
      </w:r>
      <w:r w:rsidR="00610598" w:rsidRPr="001B4AB4">
        <w:t>.  12. 2020</w:t>
      </w:r>
      <w:r w:rsidR="00610598" w:rsidRPr="00496F01">
        <w:t>.</w:t>
      </w:r>
    </w:p>
    <w:p w14:paraId="6BB5B483" w14:textId="55F60010" w:rsidR="00836DFF" w:rsidRPr="00836DFF" w:rsidRDefault="00836DFF" w:rsidP="000401B4">
      <w:pPr>
        <w:numPr>
          <w:ilvl w:val="0"/>
          <w:numId w:val="20"/>
        </w:numPr>
        <w:spacing w:before="120"/>
        <w:jc w:val="both"/>
      </w:pPr>
      <w:r w:rsidRPr="00836DFF">
        <w:t xml:space="preserve">Ocitne-li se </w:t>
      </w:r>
      <w:r w:rsidR="00610598">
        <w:t xml:space="preserve">jeden z </w:t>
      </w:r>
      <w:r w:rsidRPr="00836DFF">
        <w:t>Objednatel</w:t>
      </w:r>
      <w:r w:rsidR="00610598">
        <w:t>ů</w:t>
      </w:r>
      <w:r w:rsidRPr="00836DFF">
        <w:t xml:space="preserve"> v prodlení s plněním svých povinností dle této smlouvy z důvodů nezaviněných Zhotovitelem, v důsledku čehož nebude moci Zhotovitel provést dílo v termínu sjednaném v čl. V. odst. 1 této smlouvy, zavazuj</w:t>
      </w:r>
      <w:r w:rsidR="00610598">
        <w:t>í</w:t>
      </w:r>
      <w:r w:rsidRPr="00836DFF">
        <w:t xml:space="preserve"> se Objednatel</w:t>
      </w:r>
      <w:r w:rsidR="00610598">
        <w:t>é</w:t>
      </w:r>
      <w:r w:rsidRPr="00836DFF">
        <w:t xml:space="preserve"> uzavřít dodatek k této smlouvě, jehož obsahem bude ujednání o prodloužení termínu dokončení díla. </w:t>
      </w:r>
    </w:p>
    <w:p w14:paraId="34DAE772" w14:textId="77777777" w:rsidR="00836DFF" w:rsidRPr="00836DFF" w:rsidRDefault="00836DFF" w:rsidP="00836DFF">
      <w:pPr>
        <w:spacing w:before="120"/>
        <w:jc w:val="both"/>
      </w:pPr>
    </w:p>
    <w:p w14:paraId="4CEDE2F2" w14:textId="77777777" w:rsidR="00836DFF" w:rsidRPr="00836DFF" w:rsidRDefault="00836DFF" w:rsidP="00836DFF">
      <w:pPr>
        <w:jc w:val="center"/>
        <w:rPr>
          <w:b/>
          <w:bCs/>
          <w:sz w:val="22"/>
          <w:szCs w:val="22"/>
        </w:rPr>
      </w:pPr>
      <w:r w:rsidRPr="00836DFF">
        <w:rPr>
          <w:b/>
          <w:bCs/>
          <w:sz w:val="22"/>
          <w:szCs w:val="22"/>
        </w:rPr>
        <w:t xml:space="preserve">VI. Předání a převzetí díla </w:t>
      </w:r>
    </w:p>
    <w:p w14:paraId="6A1DE239" w14:textId="110E896D" w:rsidR="00836DFF" w:rsidRPr="00836DFF" w:rsidRDefault="00836DFF" w:rsidP="000401B4">
      <w:pPr>
        <w:numPr>
          <w:ilvl w:val="0"/>
          <w:numId w:val="21"/>
        </w:numPr>
        <w:spacing w:before="120"/>
        <w:jc w:val="both"/>
      </w:pPr>
      <w:r w:rsidRPr="00836DFF">
        <w:t>Dílo je Zhotovitel povinen předat Objednatel</w:t>
      </w:r>
      <w:r w:rsidR="009F6630">
        <w:t xml:space="preserve">ům </w:t>
      </w:r>
      <w:r w:rsidRPr="00836DFF">
        <w:t>ve sjednaném termínu na sjednaném místě plnění</w:t>
      </w:r>
      <w:r w:rsidR="00412061">
        <w:t xml:space="preserve"> </w:t>
      </w:r>
      <w:r w:rsidRPr="00836DFF">
        <w:t xml:space="preserve">– Oddělení </w:t>
      </w:r>
      <w:r w:rsidR="00610598">
        <w:t>dat, analýz a evaluací</w:t>
      </w:r>
      <w:r w:rsidRPr="00836DFF">
        <w:t xml:space="preserve"> Odboru strategického rozvoje a spolupráce Magistrátu města Brna</w:t>
      </w:r>
      <w:r w:rsidR="00496F01">
        <w:t>, Husova 12, 602 00 Brno.</w:t>
      </w:r>
      <w:r w:rsidRPr="00836DFF">
        <w:t xml:space="preserve"> </w:t>
      </w:r>
    </w:p>
    <w:p w14:paraId="081359A3" w14:textId="696271DE" w:rsidR="00412061" w:rsidRDefault="009F6630" w:rsidP="00412061">
      <w:pPr>
        <w:numPr>
          <w:ilvl w:val="0"/>
          <w:numId w:val="21"/>
        </w:numPr>
        <w:spacing w:before="120"/>
        <w:jc w:val="both"/>
      </w:pPr>
      <w:r>
        <w:t xml:space="preserve">Dílo je ze strany Zhotovitele předáno pouze v případě, kdy je předávací protokol podepsán oprávněnými zástupci všech smluvních stran. </w:t>
      </w:r>
      <w:r w:rsidR="00836DFF" w:rsidRPr="00836DFF">
        <w:t>Podkladem pro vystavení faktury</w:t>
      </w:r>
      <w:r w:rsidR="00412061">
        <w:t xml:space="preserve"> </w:t>
      </w:r>
      <w:r w:rsidR="00836DFF" w:rsidRPr="00836DFF">
        <w:t xml:space="preserve">bude smluvními stranami sepsán protokol předání díla. </w:t>
      </w:r>
    </w:p>
    <w:p w14:paraId="22D53B92" w14:textId="0D76226D" w:rsidR="00836DFF" w:rsidRPr="00836DFF" w:rsidRDefault="00836DFF" w:rsidP="00412061">
      <w:pPr>
        <w:numPr>
          <w:ilvl w:val="0"/>
          <w:numId w:val="21"/>
        </w:numPr>
        <w:spacing w:before="120"/>
        <w:jc w:val="both"/>
      </w:pPr>
      <w:r w:rsidRPr="00836DFF">
        <w:t>Bud</w:t>
      </w:r>
      <w:r w:rsidR="00610598">
        <w:t>ou</w:t>
      </w:r>
      <w:r w:rsidRPr="00836DFF">
        <w:t>-li mít Objednatel</w:t>
      </w:r>
      <w:r w:rsidR="00610598">
        <w:t>é</w:t>
      </w:r>
      <w:r w:rsidRPr="00836DFF">
        <w:t xml:space="preserve"> vůči dílu výhrady, uved</w:t>
      </w:r>
      <w:r w:rsidR="00321CB2">
        <w:t>o</w:t>
      </w:r>
      <w:r w:rsidR="00610598">
        <w:t>u</w:t>
      </w:r>
      <w:r w:rsidRPr="00836DFF">
        <w:t xml:space="preserve"> je Objednatel</w:t>
      </w:r>
      <w:r w:rsidR="00610598">
        <w:t>é</w:t>
      </w:r>
      <w:r w:rsidRPr="00836DFF">
        <w:t xml:space="preserve"> do protokolu</w:t>
      </w:r>
      <w:r w:rsidR="00321CB2">
        <w:t xml:space="preserve"> o předání díla</w:t>
      </w:r>
      <w:r w:rsidRPr="00836DFF">
        <w:t>, případně je písemně oznámí Zhotoviteli do doby splatnosti faktury a zároveň stanoví Zhotoviteli přiměřenou lhůtu k jejich odstranění. Předání díla s vadami není splnění Zhotovitelova závazku, pokud Objednatel</w:t>
      </w:r>
      <w:r w:rsidR="005D61D0">
        <w:t>é</w:t>
      </w:r>
      <w:r w:rsidRPr="00836DFF">
        <w:t xml:space="preserve"> v protokolu </w:t>
      </w:r>
      <w:r w:rsidR="00321CB2">
        <w:t xml:space="preserve">o předání díla </w:t>
      </w:r>
      <w:r w:rsidRPr="00836DFF">
        <w:t>neuved</w:t>
      </w:r>
      <w:r w:rsidR="005D61D0">
        <w:t>ou</w:t>
      </w:r>
      <w:r w:rsidRPr="00836DFF">
        <w:t>, že dílo i s vyskytnutými vadami přebír</w:t>
      </w:r>
      <w:r w:rsidR="005D61D0">
        <w:t>ají</w:t>
      </w:r>
      <w:r w:rsidRPr="00836DFF">
        <w:t xml:space="preserve">. </w:t>
      </w:r>
    </w:p>
    <w:p w14:paraId="695B1053" w14:textId="27392924" w:rsidR="00836DFF" w:rsidRPr="00836DFF" w:rsidRDefault="00836DFF" w:rsidP="000401B4">
      <w:pPr>
        <w:numPr>
          <w:ilvl w:val="0"/>
          <w:numId w:val="21"/>
        </w:numPr>
        <w:spacing w:before="120"/>
        <w:jc w:val="both"/>
      </w:pPr>
      <w:r w:rsidRPr="00836DFF">
        <w:t>V případě zjištění nedostatků díla</w:t>
      </w:r>
      <w:r w:rsidR="00321CB2">
        <w:t>,</w:t>
      </w:r>
      <w:r w:rsidRPr="00836DFF">
        <w:t xml:space="preserve"> bude cena za dílo dle vystavené faktury proplacena až po jejich odstranění.   </w:t>
      </w:r>
    </w:p>
    <w:p w14:paraId="1C677ED2" w14:textId="77777777" w:rsidR="00836DFF" w:rsidRPr="00836DFF" w:rsidRDefault="00836DFF" w:rsidP="00836DFF">
      <w:pPr>
        <w:spacing w:before="120"/>
        <w:ind w:left="360"/>
        <w:jc w:val="both"/>
      </w:pPr>
    </w:p>
    <w:p w14:paraId="4978FFDA" w14:textId="028F5B1A" w:rsidR="00836DFF" w:rsidRPr="00836DFF" w:rsidRDefault="00836DFF" w:rsidP="00836DFF">
      <w:pPr>
        <w:jc w:val="center"/>
        <w:rPr>
          <w:b/>
          <w:bCs/>
          <w:sz w:val="22"/>
          <w:szCs w:val="22"/>
        </w:rPr>
      </w:pPr>
      <w:r w:rsidRPr="00836DFF">
        <w:rPr>
          <w:b/>
          <w:bCs/>
          <w:sz w:val="22"/>
          <w:szCs w:val="22"/>
        </w:rPr>
        <w:t xml:space="preserve"> VII. Povinnosti </w:t>
      </w:r>
      <w:r w:rsidR="00017082">
        <w:rPr>
          <w:b/>
          <w:bCs/>
          <w:sz w:val="22"/>
          <w:szCs w:val="22"/>
        </w:rPr>
        <w:t>smluvních stran</w:t>
      </w:r>
      <w:r w:rsidRPr="00836DFF">
        <w:rPr>
          <w:b/>
          <w:bCs/>
          <w:sz w:val="22"/>
          <w:szCs w:val="22"/>
        </w:rPr>
        <w:t xml:space="preserve"> </w:t>
      </w:r>
    </w:p>
    <w:p w14:paraId="0139D737" w14:textId="77777777" w:rsidR="00836DFF" w:rsidRPr="00836DFF" w:rsidRDefault="00836DFF" w:rsidP="000401B4">
      <w:pPr>
        <w:numPr>
          <w:ilvl w:val="0"/>
          <w:numId w:val="22"/>
        </w:numPr>
        <w:spacing w:before="120"/>
        <w:jc w:val="both"/>
      </w:pPr>
      <w:r w:rsidRPr="00836DFF">
        <w:t xml:space="preserve">Zhotovitel je povinen provést dílo v souladu s touto smlouvou. </w:t>
      </w:r>
    </w:p>
    <w:p w14:paraId="2301FA8D" w14:textId="77777777" w:rsidR="00836DFF" w:rsidRPr="00836DFF" w:rsidRDefault="00836DFF" w:rsidP="000401B4">
      <w:pPr>
        <w:numPr>
          <w:ilvl w:val="0"/>
          <w:numId w:val="22"/>
        </w:numPr>
        <w:spacing w:before="120"/>
        <w:jc w:val="both"/>
      </w:pPr>
      <w:r w:rsidRPr="00836DFF">
        <w:t xml:space="preserve">Zhotovitel je povinen informovat Objednatele o zamýšlené změně sídla Zhotovitele. </w:t>
      </w:r>
    </w:p>
    <w:p w14:paraId="1DF5B517" w14:textId="75BAD5B7" w:rsidR="00836DFF" w:rsidRPr="00836DFF" w:rsidRDefault="00836DFF" w:rsidP="000401B4">
      <w:pPr>
        <w:numPr>
          <w:ilvl w:val="0"/>
          <w:numId w:val="22"/>
        </w:numPr>
        <w:spacing w:before="120"/>
        <w:jc w:val="both"/>
      </w:pPr>
      <w:r w:rsidRPr="00836DFF">
        <w:t>Zhotovitel není oprávněn poskytnout kopie díla jiné osobě než Objednatel</w:t>
      </w:r>
      <w:r w:rsidR="005B5431">
        <w:t>ům</w:t>
      </w:r>
      <w:r w:rsidRPr="00836DFF">
        <w:t xml:space="preserve">. </w:t>
      </w:r>
    </w:p>
    <w:p w14:paraId="6C1B1041" w14:textId="77777777" w:rsidR="00017082" w:rsidRDefault="00836DFF" w:rsidP="000401B4">
      <w:pPr>
        <w:numPr>
          <w:ilvl w:val="0"/>
          <w:numId w:val="22"/>
        </w:numPr>
        <w:spacing w:before="120"/>
        <w:jc w:val="both"/>
      </w:pPr>
      <w:r w:rsidRPr="00836DFF">
        <w:t xml:space="preserve">V případě zpracování osobních údajů Zhotovitelem při plnění závazku dle této smlouvy, je Zhotovitel povinen postupovat dle příslušných předpisů upravujících zpracování osobních údajů. </w:t>
      </w:r>
    </w:p>
    <w:p w14:paraId="18F08EA6" w14:textId="77777777" w:rsidR="00017082" w:rsidRDefault="00836DFF" w:rsidP="000401B4">
      <w:pPr>
        <w:numPr>
          <w:ilvl w:val="0"/>
          <w:numId w:val="22"/>
        </w:numPr>
        <w:spacing w:before="120"/>
        <w:jc w:val="both"/>
      </w:pPr>
      <w:r w:rsidRPr="00836DFF">
        <w:t>Objednatel</w:t>
      </w:r>
      <w:r w:rsidR="005D61D0">
        <w:t xml:space="preserve">é jsou </w:t>
      </w:r>
      <w:r w:rsidRPr="00836DFF">
        <w:t>povinn</w:t>
      </w:r>
      <w:r w:rsidR="005D61D0">
        <w:t>i</w:t>
      </w:r>
      <w:r w:rsidRPr="00836DFF">
        <w:t xml:space="preserve"> zaplatit Zhotoviteli cenu podle této smlouvy. </w:t>
      </w:r>
    </w:p>
    <w:p w14:paraId="1F969051" w14:textId="74C3DC8A" w:rsidR="00836DFF" w:rsidRPr="00836DFF" w:rsidRDefault="00836DFF" w:rsidP="000401B4">
      <w:pPr>
        <w:numPr>
          <w:ilvl w:val="0"/>
          <w:numId w:val="22"/>
        </w:numPr>
        <w:spacing w:before="120"/>
        <w:jc w:val="both"/>
      </w:pPr>
      <w:r w:rsidRPr="00836DFF">
        <w:t>Objednatel</w:t>
      </w:r>
      <w:r w:rsidR="005D61D0">
        <w:t>é</w:t>
      </w:r>
      <w:r w:rsidRPr="00836DFF">
        <w:t xml:space="preserve"> j</w:t>
      </w:r>
      <w:r w:rsidR="005D61D0">
        <w:t>sou</w:t>
      </w:r>
      <w:r w:rsidRPr="00836DFF">
        <w:t xml:space="preserve"> povinn</w:t>
      </w:r>
      <w:r w:rsidR="005D61D0">
        <w:t>i</w:t>
      </w:r>
      <w:r w:rsidRPr="00836DFF">
        <w:t xml:space="preserve"> poskytnout Zhotoviteli součinnost nezbytnou pro provedení díla dle této smlouvy. </w:t>
      </w:r>
    </w:p>
    <w:p w14:paraId="21FAC169" w14:textId="77777777" w:rsidR="00836DFF" w:rsidRPr="00836DFF" w:rsidRDefault="00836DFF" w:rsidP="00836DFF">
      <w:pPr>
        <w:spacing w:before="120"/>
        <w:ind w:left="360"/>
        <w:jc w:val="both"/>
      </w:pPr>
    </w:p>
    <w:p w14:paraId="7CCFBBB9" w14:textId="4A361096" w:rsidR="00836DFF" w:rsidRPr="00836DFF" w:rsidRDefault="00017082" w:rsidP="005D61D0">
      <w:pPr>
        <w:jc w:val="center"/>
        <w:rPr>
          <w:b/>
          <w:bCs/>
          <w:sz w:val="22"/>
          <w:szCs w:val="22"/>
        </w:rPr>
      </w:pPr>
      <w:r>
        <w:rPr>
          <w:b/>
          <w:bCs/>
          <w:sz w:val="22"/>
          <w:szCs w:val="22"/>
        </w:rPr>
        <w:t>VIII</w:t>
      </w:r>
      <w:r w:rsidR="00836DFF" w:rsidRPr="00836DFF">
        <w:rPr>
          <w:b/>
          <w:bCs/>
          <w:sz w:val="22"/>
          <w:szCs w:val="22"/>
        </w:rPr>
        <w:t xml:space="preserve">. Kvalitativní podmínky a záruka za dílo </w:t>
      </w:r>
    </w:p>
    <w:p w14:paraId="4861A4BD" w14:textId="77777777" w:rsidR="00836DFF" w:rsidRPr="00836DFF" w:rsidRDefault="00836DFF" w:rsidP="000401B4">
      <w:pPr>
        <w:numPr>
          <w:ilvl w:val="0"/>
          <w:numId w:val="23"/>
        </w:numPr>
        <w:spacing w:before="120"/>
        <w:jc w:val="both"/>
      </w:pPr>
      <w:r w:rsidRPr="00836DFF">
        <w:t xml:space="preserve">Zhotovitel poskytuje záruku za dílo v souladu s platnými právními předpisy. Zhotovitel se zavazuje, že předané dílo bude prosté jakýchkoli vad a bude mít vlastnosti dle této smlouvy. </w:t>
      </w:r>
      <w:r w:rsidRPr="00836DFF">
        <w:lastRenderedPageBreak/>
        <w:t>Zhotovitel odpovídá za vady, jež má dílo v době jeho předání a dále odpovídá za vady díla zjištěné v záruční době.</w:t>
      </w:r>
    </w:p>
    <w:p w14:paraId="64F9BC4D" w14:textId="3E5C5679" w:rsidR="00836DFF" w:rsidRPr="00836DFF" w:rsidRDefault="00836DFF" w:rsidP="000401B4">
      <w:pPr>
        <w:numPr>
          <w:ilvl w:val="0"/>
          <w:numId w:val="23"/>
        </w:numPr>
        <w:spacing w:before="120"/>
        <w:jc w:val="both"/>
      </w:pPr>
      <w:r w:rsidRPr="00836DFF">
        <w:t>Záruční doba se sjednává na 2 roky a začíná běžet dnem převzetí díla Objednatel</w:t>
      </w:r>
      <w:r w:rsidR="00321CB2">
        <w:t>i</w:t>
      </w:r>
      <w:r w:rsidRPr="00836DFF">
        <w:t xml:space="preserve">.  </w:t>
      </w:r>
    </w:p>
    <w:p w14:paraId="5BB9C76A" w14:textId="776E27CF" w:rsidR="00836DFF" w:rsidRPr="00836DFF" w:rsidRDefault="00836DFF" w:rsidP="000401B4">
      <w:pPr>
        <w:numPr>
          <w:ilvl w:val="0"/>
          <w:numId w:val="23"/>
        </w:numPr>
        <w:spacing w:before="120"/>
        <w:jc w:val="both"/>
      </w:pPr>
      <w:r w:rsidRPr="00836DFF">
        <w:t>Objednatel</w:t>
      </w:r>
      <w:r w:rsidR="00321CB2">
        <w:t>é</w:t>
      </w:r>
      <w:r w:rsidRPr="00836DFF">
        <w:t xml:space="preserve"> j</w:t>
      </w:r>
      <w:r w:rsidR="00321CB2">
        <w:t>sou</w:t>
      </w:r>
      <w:r w:rsidRPr="00836DFF">
        <w:t xml:space="preserve"> oprávněn</w:t>
      </w:r>
      <w:r w:rsidR="00321CB2">
        <w:t>i</w:t>
      </w:r>
      <w:r w:rsidRPr="00836DFF">
        <w:t xml:space="preserve"> reklamovat vady plnění po dobu trvání záruční doby. Reklamace musí být řádně doloženy a musí mít písemnou formu. </w:t>
      </w:r>
    </w:p>
    <w:p w14:paraId="01240780" w14:textId="77777777" w:rsidR="00836DFF" w:rsidRPr="00836DFF" w:rsidRDefault="00836DFF" w:rsidP="000401B4">
      <w:pPr>
        <w:numPr>
          <w:ilvl w:val="0"/>
          <w:numId w:val="23"/>
        </w:numPr>
        <w:spacing w:before="120"/>
        <w:jc w:val="both"/>
      </w:pPr>
      <w:r w:rsidRPr="00836DFF">
        <w:t xml:space="preserve">Oprávněně reklamované vady budou Zhotovitelem odstraněny bez zbytečného odkladu a bezplatně. </w:t>
      </w:r>
    </w:p>
    <w:p w14:paraId="5E4072BE" w14:textId="77777777" w:rsidR="00836DFF" w:rsidRPr="00836DFF" w:rsidRDefault="00836DFF" w:rsidP="00836DFF">
      <w:pPr>
        <w:spacing w:before="120"/>
        <w:ind w:left="360"/>
        <w:jc w:val="both"/>
      </w:pPr>
    </w:p>
    <w:p w14:paraId="42929435" w14:textId="17272575" w:rsidR="00836DFF" w:rsidRPr="00836DFF" w:rsidRDefault="00017082" w:rsidP="005D61D0">
      <w:pPr>
        <w:jc w:val="center"/>
        <w:rPr>
          <w:b/>
          <w:bCs/>
          <w:sz w:val="22"/>
          <w:szCs w:val="22"/>
        </w:rPr>
      </w:pPr>
      <w:r>
        <w:rPr>
          <w:b/>
          <w:bCs/>
          <w:sz w:val="22"/>
          <w:szCs w:val="22"/>
        </w:rPr>
        <w:t>I</w:t>
      </w:r>
      <w:r w:rsidR="00836DFF" w:rsidRPr="00836DFF">
        <w:rPr>
          <w:b/>
          <w:bCs/>
          <w:sz w:val="22"/>
          <w:szCs w:val="22"/>
        </w:rPr>
        <w:t>X. Smluvní pokuty a úroky z prodlení</w:t>
      </w:r>
      <w:r w:rsidR="00836DFF" w:rsidRPr="00836DFF">
        <w:t xml:space="preserve"> </w:t>
      </w:r>
    </w:p>
    <w:p w14:paraId="0C4C9850" w14:textId="338FA7DB" w:rsidR="00836DFF" w:rsidRPr="00836DFF" w:rsidRDefault="00836DFF" w:rsidP="000401B4">
      <w:pPr>
        <w:numPr>
          <w:ilvl w:val="0"/>
          <w:numId w:val="24"/>
        </w:numPr>
        <w:spacing w:before="120"/>
        <w:jc w:val="both"/>
      </w:pPr>
      <w:r w:rsidRPr="00836DFF">
        <w:t>V případě prodlení s termínem předání díla nebo části díla dle čl. V. odst. 1 této smlouvy j</w:t>
      </w:r>
      <w:r w:rsidR="00321CB2">
        <w:t>sou</w:t>
      </w:r>
      <w:r w:rsidRPr="00836DFF">
        <w:t xml:space="preserve"> Objednatel</w:t>
      </w:r>
      <w:r w:rsidR="00321CB2">
        <w:t>é</w:t>
      </w:r>
      <w:r w:rsidRPr="00836DFF">
        <w:t xml:space="preserve"> oprávněn</w:t>
      </w:r>
      <w:r w:rsidR="00321CB2">
        <w:t>i</w:t>
      </w:r>
      <w:r w:rsidRPr="00836DFF">
        <w:t xml:space="preserve"> účtovat Zhotoviteli smluvní pokutu ve výši 0,1 % ceny díla za každý den </w:t>
      </w:r>
      <w:r w:rsidRPr="00AA63B1">
        <w:t>prodlení s výjimkou prodlení</w:t>
      </w:r>
      <w:r w:rsidRPr="00836DFF">
        <w:t xml:space="preserve"> Objednatel</w:t>
      </w:r>
      <w:r w:rsidR="00321CB2">
        <w:t>ů</w:t>
      </w:r>
      <w:r w:rsidRPr="00836DFF">
        <w:t xml:space="preserve"> s plněním svých povinností dle čl. V. odst. 2. této smlouvy.  </w:t>
      </w:r>
    </w:p>
    <w:p w14:paraId="717BED7B" w14:textId="2A610B07" w:rsidR="00836DFF" w:rsidRPr="00836DFF" w:rsidRDefault="00836DFF" w:rsidP="000401B4">
      <w:pPr>
        <w:numPr>
          <w:ilvl w:val="0"/>
          <w:numId w:val="24"/>
        </w:numPr>
        <w:spacing w:before="120"/>
        <w:jc w:val="both"/>
      </w:pPr>
      <w:r w:rsidRPr="00836DFF">
        <w:t>V případě prodlení s termínem splatnosti faktury je Zhotovitel oprávněn účtovat Objednatel</w:t>
      </w:r>
      <w:r w:rsidR="00321CB2">
        <w:t>ům</w:t>
      </w:r>
      <w:r w:rsidRPr="00836DFF">
        <w:t xml:space="preserve"> úrok z prodlení ve výši 0,1 % z dlužné částky za každý den prodlení. </w:t>
      </w:r>
    </w:p>
    <w:p w14:paraId="3A527F45" w14:textId="67F0D4E5" w:rsidR="00836DFF" w:rsidRPr="00836DFF" w:rsidRDefault="00836DFF" w:rsidP="000401B4">
      <w:pPr>
        <w:numPr>
          <w:ilvl w:val="0"/>
          <w:numId w:val="24"/>
        </w:numPr>
        <w:spacing w:before="120"/>
        <w:jc w:val="both"/>
      </w:pPr>
      <w:r w:rsidRPr="00836DFF">
        <w:t>V případě porušení povinnosti dle čl. VII. odst. 4 této smlouvy j</w:t>
      </w:r>
      <w:r w:rsidR="00321CB2">
        <w:t>sou</w:t>
      </w:r>
      <w:r w:rsidRPr="00836DFF">
        <w:t xml:space="preserve"> Objednatel</w:t>
      </w:r>
      <w:r w:rsidR="00321CB2">
        <w:t>é</w:t>
      </w:r>
      <w:r w:rsidRPr="00836DFF">
        <w:t xml:space="preserve"> oprávněn</w:t>
      </w:r>
      <w:r w:rsidR="00321CB2">
        <w:t>i</w:t>
      </w:r>
      <w:r w:rsidRPr="00836DFF">
        <w:t xml:space="preserve"> účtovat Zhotoviteli smluvní pokutu ve výši 0,1 % ceny díla za každý den porušení této povinnosti, a to maximálně po dobu 30 dní. </w:t>
      </w:r>
    </w:p>
    <w:p w14:paraId="09E95003" w14:textId="77777777" w:rsidR="00836DFF" w:rsidRPr="00836DFF" w:rsidRDefault="00836DFF" w:rsidP="000401B4">
      <w:pPr>
        <w:numPr>
          <w:ilvl w:val="0"/>
          <w:numId w:val="24"/>
        </w:numPr>
        <w:spacing w:before="120"/>
        <w:jc w:val="both"/>
      </w:pPr>
      <w:r w:rsidRPr="00836DFF">
        <w:t xml:space="preserve">Výše uvedené sjednané sankce nemají vliv na případnou povinnost náhrady škody. Sjednané sankce hradí povinná strana nezávisle na tom, zda a v jaké výši vznikne druhé straně v této souvislosti škoda, kterou lze vymáhat samostatně. Smluvní strany vylučují použití </w:t>
      </w:r>
      <w:proofErr w:type="spellStart"/>
      <w:r w:rsidRPr="00836DFF">
        <w:t>ust</w:t>
      </w:r>
      <w:proofErr w:type="spellEnd"/>
      <w:r w:rsidRPr="00836DFF">
        <w:t xml:space="preserve">. § 2050 občanského zákoníku. </w:t>
      </w:r>
    </w:p>
    <w:p w14:paraId="56AF43AD" w14:textId="77777777" w:rsidR="00836DFF" w:rsidRPr="00836DFF" w:rsidRDefault="00836DFF" w:rsidP="00836DFF">
      <w:pPr>
        <w:spacing w:after="160" w:line="259" w:lineRule="auto"/>
        <w:rPr>
          <w:b/>
          <w:bCs/>
          <w:sz w:val="22"/>
          <w:szCs w:val="22"/>
        </w:rPr>
      </w:pPr>
    </w:p>
    <w:p w14:paraId="2E00D497" w14:textId="53D4C09C" w:rsidR="00836DFF" w:rsidRPr="00836DFF" w:rsidRDefault="00836DFF" w:rsidP="005D61D0">
      <w:pPr>
        <w:jc w:val="center"/>
        <w:rPr>
          <w:b/>
          <w:bCs/>
          <w:sz w:val="22"/>
          <w:szCs w:val="22"/>
        </w:rPr>
      </w:pPr>
      <w:r w:rsidRPr="00836DFF">
        <w:rPr>
          <w:b/>
          <w:bCs/>
          <w:sz w:val="22"/>
          <w:szCs w:val="22"/>
        </w:rPr>
        <w:t xml:space="preserve">X. Odstoupení od smlouvy </w:t>
      </w:r>
    </w:p>
    <w:p w14:paraId="70E867EA" w14:textId="77777777" w:rsidR="00836DFF" w:rsidRPr="00836DFF" w:rsidRDefault="00836DFF" w:rsidP="000401B4">
      <w:pPr>
        <w:numPr>
          <w:ilvl w:val="0"/>
          <w:numId w:val="25"/>
        </w:numPr>
        <w:spacing w:before="120"/>
        <w:jc w:val="both"/>
      </w:pPr>
      <w:r w:rsidRPr="00836DFF">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14:paraId="1EE76BA7" w14:textId="77777777" w:rsidR="00836DFF" w:rsidRPr="00836DFF" w:rsidRDefault="00836DFF" w:rsidP="000401B4">
      <w:pPr>
        <w:numPr>
          <w:ilvl w:val="0"/>
          <w:numId w:val="25"/>
        </w:numPr>
        <w:spacing w:before="120"/>
        <w:jc w:val="both"/>
      </w:pPr>
      <w:r w:rsidRPr="00836DFF">
        <w:t xml:space="preserve">Podstatným porušením této smlouvy se rozumí zejména:  </w:t>
      </w:r>
    </w:p>
    <w:p w14:paraId="2F19B205" w14:textId="353C4470" w:rsidR="00836DFF" w:rsidRPr="00017082" w:rsidRDefault="00836DFF" w:rsidP="000401B4">
      <w:pPr>
        <w:pStyle w:val="Bezmezer"/>
        <w:numPr>
          <w:ilvl w:val="0"/>
          <w:numId w:val="28"/>
        </w:numPr>
        <w:ind w:left="993" w:hanging="426"/>
        <w:rPr>
          <w:rFonts w:ascii="Times New Roman" w:hAnsi="Times New Roman" w:cs="Times New Roman"/>
          <w:sz w:val="24"/>
          <w:szCs w:val="24"/>
        </w:rPr>
      </w:pPr>
      <w:r w:rsidRPr="00017082">
        <w:rPr>
          <w:rFonts w:ascii="Times New Roman" w:hAnsi="Times New Roman" w:cs="Times New Roman"/>
          <w:sz w:val="24"/>
          <w:szCs w:val="24"/>
        </w:rPr>
        <w:t xml:space="preserve">prodlení Zhotovitele se splněním termínu dokončení díla nebo části díla delším než </w:t>
      </w:r>
      <w:r w:rsidR="00412061">
        <w:rPr>
          <w:rFonts w:ascii="Times New Roman" w:hAnsi="Times New Roman" w:cs="Times New Roman"/>
          <w:sz w:val="24"/>
          <w:szCs w:val="24"/>
        </w:rPr>
        <w:t>7</w:t>
      </w:r>
      <w:r w:rsidRPr="00017082">
        <w:rPr>
          <w:rFonts w:ascii="Times New Roman" w:hAnsi="Times New Roman" w:cs="Times New Roman"/>
          <w:sz w:val="24"/>
          <w:szCs w:val="24"/>
        </w:rPr>
        <w:t xml:space="preserve"> dnů, </w:t>
      </w:r>
    </w:p>
    <w:p w14:paraId="07CF472E" w14:textId="4F21A82F" w:rsidR="00836DFF" w:rsidRPr="00017082" w:rsidRDefault="00836DFF" w:rsidP="000401B4">
      <w:pPr>
        <w:pStyle w:val="Bezmezer"/>
        <w:numPr>
          <w:ilvl w:val="0"/>
          <w:numId w:val="28"/>
        </w:numPr>
        <w:ind w:left="993" w:hanging="426"/>
        <w:rPr>
          <w:rFonts w:ascii="Times New Roman" w:hAnsi="Times New Roman" w:cs="Times New Roman"/>
          <w:sz w:val="24"/>
          <w:szCs w:val="24"/>
        </w:rPr>
      </w:pPr>
      <w:r w:rsidRPr="00017082">
        <w:rPr>
          <w:rFonts w:ascii="Times New Roman" w:hAnsi="Times New Roman" w:cs="Times New Roman"/>
          <w:sz w:val="24"/>
          <w:szCs w:val="24"/>
        </w:rPr>
        <w:t>nesplnění obsahu zakázky (dle přílohy č. 1</w:t>
      </w:r>
      <w:bookmarkStart w:id="7" w:name="_GoBack"/>
      <w:bookmarkEnd w:id="7"/>
      <w:r w:rsidRPr="00017082">
        <w:rPr>
          <w:rFonts w:ascii="Times New Roman" w:hAnsi="Times New Roman" w:cs="Times New Roman"/>
          <w:sz w:val="24"/>
          <w:szCs w:val="24"/>
        </w:rPr>
        <w:t xml:space="preserve"> této smlouvy).   </w:t>
      </w:r>
    </w:p>
    <w:p w14:paraId="35EA6FA0" w14:textId="7261FE06" w:rsidR="00836DFF" w:rsidRPr="00836DFF" w:rsidRDefault="00836DFF" w:rsidP="000401B4">
      <w:pPr>
        <w:numPr>
          <w:ilvl w:val="0"/>
          <w:numId w:val="25"/>
        </w:numPr>
        <w:spacing w:before="120"/>
        <w:jc w:val="both"/>
      </w:pPr>
      <w:r w:rsidRPr="00836DFF">
        <w:t xml:space="preserve">Dojde-li k odstoupení od smlouvy z důvodů na straně </w:t>
      </w:r>
      <w:r w:rsidR="00017082">
        <w:t xml:space="preserve">jednoho z </w:t>
      </w:r>
      <w:r w:rsidRPr="00836DFF">
        <w:t>Objednatel</w:t>
      </w:r>
      <w:r w:rsidR="00017082">
        <w:t>ů</w:t>
      </w:r>
      <w:r w:rsidRPr="00836DFF">
        <w:t>, bude Zhotovitel účtovat Objednatel</w:t>
      </w:r>
      <w:r w:rsidR="00017082">
        <w:t>ům</w:t>
      </w:r>
      <w:r w:rsidRPr="00836DFF">
        <w:t xml:space="preserve"> rozpracované práce ve výši odpovídající rozsahu vykonaných prací ke dni odstoupení. </w:t>
      </w:r>
    </w:p>
    <w:p w14:paraId="7DC924A3" w14:textId="5987E984" w:rsidR="00836DFF" w:rsidRPr="00836DFF" w:rsidRDefault="00836DFF" w:rsidP="000401B4">
      <w:pPr>
        <w:numPr>
          <w:ilvl w:val="0"/>
          <w:numId w:val="25"/>
        </w:numPr>
        <w:spacing w:before="120"/>
        <w:jc w:val="both"/>
      </w:pPr>
      <w:r w:rsidRPr="00836DFF">
        <w:t>V případě, že od smlouvy odstoupí Zhotovitel, je povinen uhradit Objednatel</w:t>
      </w:r>
      <w:r w:rsidR="00017082">
        <w:t>ům</w:t>
      </w:r>
      <w:r w:rsidRPr="00836DFF">
        <w:t xml:space="preserve"> případnou škodu, která </w:t>
      </w:r>
      <w:r w:rsidR="00321CB2">
        <w:t>jim</w:t>
      </w:r>
      <w:r w:rsidRPr="00836DFF">
        <w:t xml:space="preserve"> odstoupením od smlouvy vznikla. </w:t>
      </w:r>
    </w:p>
    <w:p w14:paraId="288F876A" w14:textId="77777777" w:rsidR="00836DFF" w:rsidRPr="00836DFF" w:rsidRDefault="00836DFF" w:rsidP="00836DFF">
      <w:pPr>
        <w:spacing w:before="120"/>
        <w:ind w:left="360"/>
        <w:jc w:val="both"/>
      </w:pPr>
    </w:p>
    <w:p w14:paraId="254AAD46" w14:textId="23EE08F9" w:rsidR="00836DFF" w:rsidRPr="00836DFF" w:rsidRDefault="00836DFF" w:rsidP="00836DFF">
      <w:pPr>
        <w:jc w:val="center"/>
        <w:rPr>
          <w:b/>
          <w:bCs/>
          <w:sz w:val="22"/>
          <w:szCs w:val="22"/>
        </w:rPr>
      </w:pPr>
      <w:r w:rsidRPr="00836DFF">
        <w:rPr>
          <w:b/>
          <w:bCs/>
          <w:sz w:val="22"/>
          <w:szCs w:val="22"/>
        </w:rPr>
        <w:t xml:space="preserve">XI. Ostatní ujednání </w:t>
      </w:r>
    </w:p>
    <w:p w14:paraId="3CE62003" w14:textId="683438E2" w:rsidR="00836DFF" w:rsidRPr="00836DFF" w:rsidRDefault="00836DFF" w:rsidP="000401B4">
      <w:pPr>
        <w:numPr>
          <w:ilvl w:val="0"/>
          <w:numId w:val="26"/>
        </w:numPr>
        <w:spacing w:before="120"/>
        <w:jc w:val="both"/>
      </w:pPr>
      <w:r w:rsidRPr="00836DFF">
        <w:t>Vznikne-li Objednatel</w:t>
      </w:r>
      <w:r w:rsidR="00017082">
        <w:t>ům</w:t>
      </w:r>
      <w:r w:rsidRPr="00836DFF">
        <w:t xml:space="preserve"> z důvodu vadného plnění či prodlení s předáním díla škoda, je </w:t>
      </w:r>
      <w:r w:rsidR="00321CB2">
        <w:t>Z</w:t>
      </w:r>
      <w:r w:rsidRPr="00836DFF">
        <w:t xml:space="preserve">hotovitel povinen tuto škodu </w:t>
      </w:r>
      <w:r w:rsidR="00321CB2">
        <w:t>O</w:t>
      </w:r>
      <w:r w:rsidRPr="00836DFF">
        <w:t>bjednatel</w:t>
      </w:r>
      <w:r w:rsidR="00321CB2">
        <w:t>ům</w:t>
      </w:r>
      <w:r w:rsidR="00412061">
        <w:t xml:space="preserve"> </w:t>
      </w:r>
      <w:r w:rsidRPr="00836DFF">
        <w:t xml:space="preserve">finančně nahradit. </w:t>
      </w:r>
    </w:p>
    <w:p w14:paraId="6366D4CD" w14:textId="79099B5C" w:rsidR="00836DFF" w:rsidRPr="00836DFF" w:rsidRDefault="00836DFF" w:rsidP="000401B4">
      <w:pPr>
        <w:numPr>
          <w:ilvl w:val="0"/>
          <w:numId w:val="26"/>
        </w:numPr>
        <w:spacing w:before="120"/>
        <w:jc w:val="both"/>
      </w:pPr>
      <w:r w:rsidRPr="00836DFF">
        <w:t>V průběhu doby plnění budou na výzvu Objednatel</w:t>
      </w:r>
      <w:r w:rsidR="00017082">
        <w:t>ů</w:t>
      </w:r>
      <w:r w:rsidRPr="00836DFF">
        <w:t xml:space="preserve"> či Zhotovitele uskutečněny mj. konzultace formou elektronické komunikace, popř. telefonické konzultace. </w:t>
      </w:r>
    </w:p>
    <w:p w14:paraId="159118F3" w14:textId="5773C9A0" w:rsidR="00836DFF" w:rsidRPr="00836DFF" w:rsidRDefault="00836DFF" w:rsidP="00017082">
      <w:pPr>
        <w:spacing w:before="120"/>
        <w:jc w:val="both"/>
      </w:pPr>
    </w:p>
    <w:p w14:paraId="3F237A0F" w14:textId="7DDB0C4C" w:rsidR="00836DFF" w:rsidRPr="00836DFF" w:rsidRDefault="00836DFF" w:rsidP="005D61D0">
      <w:pPr>
        <w:jc w:val="center"/>
        <w:rPr>
          <w:b/>
          <w:bCs/>
          <w:sz w:val="22"/>
          <w:szCs w:val="22"/>
        </w:rPr>
      </w:pPr>
      <w:r w:rsidRPr="00836DFF">
        <w:rPr>
          <w:b/>
          <w:bCs/>
          <w:sz w:val="22"/>
          <w:szCs w:val="22"/>
        </w:rPr>
        <w:t>XI</w:t>
      </w:r>
      <w:r w:rsidR="005D61D0">
        <w:rPr>
          <w:b/>
          <w:bCs/>
          <w:sz w:val="22"/>
          <w:szCs w:val="22"/>
        </w:rPr>
        <w:t>I</w:t>
      </w:r>
      <w:r w:rsidRPr="00836DFF">
        <w:rPr>
          <w:b/>
          <w:bCs/>
          <w:sz w:val="22"/>
          <w:szCs w:val="22"/>
        </w:rPr>
        <w:t xml:space="preserve">. Závěrečná ustanovení </w:t>
      </w:r>
    </w:p>
    <w:p w14:paraId="4F0E5782" w14:textId="367715F0" w:rsidR="00836DFF" w:rsidRPr="00836DFF" w:rsidRDefault="00836DFF" w:rsidP="000401B4">
      <w:pPr>
        <w:numPr>
          <w:ilvl w:val="0"/>
          <w:numId w:val="27"/>
        </w:numPr>
        <w:spacing w:before="120"/>
        <w:jc w:val="both"/>
      </w:pPr>
      <w:r w:rsidRPr="00836DFF">
        <w:t xml:space="preserve">Tato smlouva může být měněna a doplňována pouze formou písemných dodatků, označených jako dodatek s pořadovým číslem ke smlouvě a podepsaných </w:t>
      </w:r>
      <w:r w:rsidR="00321CB2">
        <w:t>všemi</w:t>
      </w:r>
      <w:r w:rsidRPr="00836DFF">
        <w:t xml:space="preserve"> smluvními stranami. </w:t>
      </w:r>
    </w:p>
    <w:p w14:paraId="743FE9B2" w14:textId="77777777" w:rsidR="00836DFF" w:rsidRPr="00836DFF" w:rsidRDefault="00836DFF" w:rsidP="000401B4">
      <w:pPr>
        <w:numPr>
          <w:ilvl w:val="0"/>
          <w:numId w:val="27"/>
        </w:numPr>
        <w:spacing w:before="120"/>
        <w:jc w:val="both"/>
      </w:pPr>
      <w:r w:rsidRPr="00836DFF">
        <w:t xml:space="preserve">Tato smlouva se řídí právem České republiky. Vztahy mezi smluvními stranami výslovně neupravené touto smlouvou se řídí především ustanoveními občanského zákoníku. </w:t>
      </w:r>
    </w:p>
    <w:p w14:paraId="52F538D7" w14:textId="77777777" w:rsidR="00836DFF" w:rsidRPr="00836DFF" w:rsidRDefault="00836DFF" w:rsidP="000401B4">
      <w:pPr>
        <w:numPr>
          <w:ilvl w:val="0"/>
          <w:numId w:val="27"/>
        </w:numPr>
        <w:spacing w:before="120"/>
        <w:jc w:val="both"/>
      </w:pPr>
      <w:r w:rsidRPr="00836DFF">
        <w:t xml:space="preserve">Veškeré případné spory mezi smluvními stranami budou řešeny v prvé řadě smírně  </w:t>
      </w:r>
      <w:r w:rsidRPr="00836DFF">
        <w:br/>
        <w:t xml:space="preserve">a dohodou. V případě neúspěchu těchto jednání se kterákoli ze smluvních stran může obrátit na místně a věcně příslušný soud České republiky. </w:t>
      </w:r>
    </w:p>
    <w:p w14:paraId="24926E98" w14:textId="7DCD7B4A" w:rsidR="00836DFF" w:rsidRPr="00836DFF" w:rsidRDefault="00836DFF" w:rsidP="000401B4">
      <w:pPr>
        <w:numPr>
          <w:ilvl w:val="0"/>
          <w:numId w:val="27"/>
        </w:numPr>
        <w:spacing w:before="120"/>
        <w:jc w:val="both"/>
      </w:pPr>
      <w:r w:rsidRPr="00836DFF">
        <w:t>Tato smlouva je vyhotovena v</w:t>
      </w:r>
      <w:r w:rsidR="00017082">
        <w:t> pěti výtiscích</w:t>
      </w:r>
      <w:r w:rsidRPr="00836DFF">
        <w:t xml:space="preserve">, z nichž tři obdrží Objednatel </w:t>
      </w:r>
      <w:r w:rsidR="00017082">
        <w:t xml:space="preserve">č. 1 </w:t>
      </w:r>
      <w:r w:rsidRPr="00836DFF">
        <w:t xml:space="preserve">a </w:t>
      </w:r>
      <w:r w:rsidR="00017082">
        <w:t xml:space="preserve">po jednom </w:t>
      </w:r>
      <w:r w:rsidR="00017082" w:rsidRPr="00836DFF">
        <w:t>Zhotovitel</w:t>
      </w:r>
      <w:r w:rsidR="00017082">
        <w:t xml:space="preserve"> a Objednatel č. 2</w:t>
      </w:r>
      <w:r w:rsidRPr="00836DFF">
        <w:t xml:space="preserve">. </w:t>
      </w:r>
    </w:p>
    <w:p w14:paraId="20A97292" w14:textId="26713749" w:rsidR="00836DFF" w:rsidRPr="00836DFF" w:rsidRDefault="00836DFF" w:rsidP="000401B4">
      <w:pPr>
        <w:numPr>
          <w:ilvl w:val="0"/>
          <w:numId w:val="27"/>
        </w:numPr>
        <w:spacing w:before="120"/>
        <w:jc w:val="both"/>
      </w:pPr>
      <w:r w:rsidRPr="00836DFF">
        <w:t>Tato smlouva nabývá platnosti dnem podpisu všemi smluvními stranami a účinnosti dnem uveřejnění v registru smluv v souladu se zákonem č. 340/2015 Sb., o zvláštních podmínkách účinnosti některých smluv, uveřejňování těchto smluv a o registru smluv (zákon o registru smluv), ve znění pozdějších předpisů. Smluvní strany se dohodly, že návrh na uveřejnění smlouvy v registru smluv podá Objednatel</w:t>
      </w:r>
      <w:r w:rsidR="00017082">
        <w:t xml:space="preserve"> č. 1</w:t>
      </w:r>
      <w:r w:rsidRPr="00836DFF">
        <w:t xml:space="preserve">. </w:t>
      </w:r>
    </w:p>
    <w:p w14:paraId="1F9D0B1B" w14:textId="62332479" w:rsidR="00836DFF" w:rsidRPr="00836DFF" w:rsidRDefault="00836DFF" w:rsidP="000401B4">
      <w:pPr>
        <w:numPr>
          <w:ilvl w:val="0"/>
          <w:numId w:val="27"/>
        </w:numPr>
        <w:spacing w:before="120"/>
        <w:jc w:val="both"/>
      </w:pPr>
      <w:r w:rsidRPr="00836DFF">
        <w:t xml:space="preserve">Pokud oddělitelné ustanovení této smlouvy je nebo se stane neplatným či nevynutitelným, nemá to vliv na platnost zbývajících ustanovení této smlouvy. V takovém případě se strany této smlouvy zavazují uzavřít do 10 pracovních dnů od výzvy </w:t>
      </w:r>
      <w:r w:rsidR="00412061">
        <w:t>jakékoli</w:t>
      </w:r>
      <w:r w:rsidR="00412061" w:rsidRPr="00836DFF">
        <w:t xml:space="preserve"> </w:t>
      </w:r>
      <w:r w:rsidRPr="00836DFF">
        <w:t xml:space="preserve">ze stran této smlouvy dodatek k této smlouvě nahrazující oddělitelné ustanovení této smlouvy, které je neplatné či nevynutitelné, platným a vynutitelným ustanovením odpovídajícím hospodářskému účelu takto nahrazeného ustanovení. </w:t>
      </w:r>
    </w:p>
    <w:p w14:paraId="66BFC9E5" w14:textId="77777777" w:rsidR="00836DFF" w:rsidRPr="00836DFF" w:rsidRDefault="00836DFF" w:rsidP="000401B4">
      <w:pPr>
        <w:numPr>
          <w:ilvl w:val="0"/>
          <w:numId w:val="27"/>
        </w:numPr>
        <w:spacing w:before="120"/>
        <w:jc w:val="both"/>
      </w:pPr>
      <w:r w:rsidRPr="00836DFF">
        <w:t xml:space="preserve">Odpověď s dodatkem nebo odchylkou, která podstatně nemění podmínky nabídky, ve smyslu </w:t>
      </w:r>
      <w:proofErr w:type="spellStart"/>
      <w:r w:rsidRPr="00836DFF">
        <w:t>ust</w:t>
      </w:r>
      <w:proofErr w:type="spellEnd"/>
      <w:r w:rsidRPr="00836DFF">
        <w:t xml:space="preserve">. § 1740 odst. 3 občanského zákoníku není přijetím nabídky na uzavření této smlouvy. </w:t>
      </w:r>
    </w:p>
    <w:p w14:paraId="66B15425" w14:textId="1605E507" w:rsidR="00836DFF" w:rsidRPr="00836DFF" w:rsidRDefault="00836DFF" w:rsidP="000401B4">
      <w:pPr>
        <w:numPr>
          <w:ilvl w:val="0"/>
          <w:numId w:val="27"/>
        </w:numPr>
        <w:spacing w:before="120"/>
        <w:jc w:val="both"/>
      </w:pPr>
      <w:r w:rsidRPr="00836DFF">
        <w:t xml:space="preserve">Zhotovitel bere na vědomí, že </w:t>
      </w:r>
      <w:r w:rsidR="003F7F59">
        <w:t>Objednatel</w:t>
      </w:r>
      <w:r w:rsidR="00412061">
        <w:t>é</w:t>
      </w:r>
      <w:r w:rsidR="003F7F59">
        <w:t xml:space="preserve"> jsou</w:t>
      </w:r>
      <w:r w:rsidRPr="00836DFF">
        <w:t xml:space="preserve"> povinným</w:t>
      </w:r>
      <w:r w:rsidR="003F7F59">
        <w:t>i</w:t>
      </w:r>
      <w:r w:rsidRPr="00836DFF">
        <w:t xml:space="preserve"> subjekt</w:t>
      </w:r>
      <w:r w:rsidR="003F7F59">
        <w:t>y</w:t>
      </w:r>
      <w:r w:rsidRPr="00836DFF">
        <w:t xml:space="preserve"> dle zákona č. 106/1999 Sb., o svobodném přístupu k informacím, ve znění pozdějších předpisů, a zejména, že dle § 9 odst. 2 tohoto zákona se při poskytování informace, která se týká používání veřejných prostředků, nepovažuje poskytnutí informace o rozsahu a příjemci těchto prostředků za porušení obchodního tajemství. </w:t>
      </w:r>
    </w:p>
    <w:p w14:paraId="3BF5F63E" w14:textId="77777777" w:rsidR="00836DFF" w:rsidRPr="00836DFF" w:rsidRDefault="00836DFF" w:rsidP="000401B4">
      <w:pPr>
        <w:numPr>
          <w:ilvl w:val="0"/>
          <w:numId w:val="27"/>
        </w:numPr>
        <w:spacing w:before="120"/>
        <w:jc w:val="both"/>
      </w:pPr>
      <w:r w:rsidRPr="00836DFF">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58D11BC7" w14:textId="0135DB68" w:rsidR="00836DFF" w:rsidRPr="00836DFF" w:rsidRDefault="00836DFF" w:rsidP="00836DFF">
      <w:pPr>
        <w:spacing w:before="120"/>
        <w:jc w:val="both"/>
      </w:pPr>
      <w:r>
        <w:t>Přílohy:</w:t>
      </w:r>
    </w:p>
    <w:p w14:paraId="01821391" w14:textId="6009D832" w:rsidR="005D61D0" w:rsidRPr="00017082" w:rsidRDefault="00017082" w:rsidP="000401B4">
      <w:pPr>
        <w:pStyle w:val="Odstavecseseznamem"/>
        <w:numPr>
          <w:ilvl w:val="3"/>
          <w:numId w:val="4"/>
        </w:numPr>
        <w:ind w:left="426" w:hanging="426"/>
        <w:rPr>
          <w:spacing w:val="-5"/>
        </w:rPr>
      </w:pPr>
      <w:r w:rsidRPr="00017082">
        <w:rPr>
          <w:spacing w:val="-5"/>
        </w:rPr>
        <w:t xml:space="preserve">Zadání veřejné zakázky </w:t>
      </w:r>
      <w:r w:rsidRPr="00017082">
        <w:rPr>
          <w:bCs/>
        </w:rPr>
        <w:t>„Pohyb obyvatel v Brně dle dat mobilního operátora“</w:t>
      </w:r>
    </w:p>
    <w:p w14:paraId="76356110" w14:textId="77777777" w:rsidR="005D61D0" w:rsidRPr="00CB062E" w:rsidRDefault="005D61D0" w:rsidP="005D61D0">
      <w:pPr>
        <w:pStyle w:val="Bezmezer"/>
      </w:pPr>
    </w:p>
    <w:p w14:paraId="78D99646" w14:textId="77777777" w:rsidR="005D61D0" w:rsidRPr="00CB062E" w:rsidRDefault="005D61D0" w:rsidP="005D61D0">
      <w:pPr>
        <w:pStyle w:val="Bezmezer"/>
        <w:jc w:val="both"/>
        <w:rPr>
          <w:rFonts w:ascii="Times New Roman" w:hAnsi="Times New Roman" w:cs="Times New Roman"/>
          <w:b/>
          <w:sz w:val="24"/>
          <w:szCs w:val="24"/>
        </w:rPr>
      </w:pPr>
      <w:r w:rsidRPr="00CB062E">
        <w:rPr>
          <w:rFonts w:ascii="Times New Roman" w:hAnsi="Times New Roman" w:cs="Times New Roman"/>
          <w:b/>
          <w:sz w:val="24"/>
          <w:szCs w:val="24"/>
        </w:rPr>
        <w:t xml:space="preserve">Doložka podle § </w:t>
      </w:r>
      <w:r>
        <w:rPr>
          <w:rFonts w:ascii="Times New Roman" w:hAnsi="Times New Roman" w:cs="Times New Roman"/>
          <w:b/>
          <w:sz w:val="24"/>
          <w:szCs w:val="24"/>
        </w:rPr>
        <w:t>41</w:t>
      </w:r>
      <w:r w:rsidRPr="00CB062E">
        <w:rPr>
          <w:rFonts w:ascii="Times New Roman" w:hAnsi="Times New Roman" w:cs="Times New Roman"/>
          <w:b/>
          <w:sz w:val="24"/>
          <w:szCs w:val="24"/>
        </w:rPr>
        <w:t xml:space="preserve"> zákona č. 128/2000 Sb., o obcích (obecní zřízení), ve znění pozdějších předpisů.</w:t>
      </w:r>
    </w:p>
    <w:p w14:paraId="4E6703B9" w14:textId="658BF651" w:rsidR="005D61D0" w:rsidRPr="00CB062E" w:rsidRDefault="005D61D0" w:rsidP="005D61D0">
      <w:pPr>
        <w:pStyle w:val="Bezmezer"/>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Tato</w:t>
      </w:r>
      <w:r w:rsidRPr="00CB062E">
        <w:rPr>
          <w:rFonts w:ascii="Times New Roman" w:eastAsia="Times New Roman" w:hAnsi="Times New Roman" w:cs="Times New Roman"/>
          <w:bCs/>
          <w:sz w:val="24"/>
          <w:szCs w:val="24"/>
          <w:lang w:eastAsia="cs-CZ"/>
        </w:rPr>
        <w:t xml:space="preserve"> smlouva o </w:t>
      </w:r>
      <w:r>
        <w:rPr>
          <w:rFonts w:ascii="Times New Roman" w:eastAsia="Times New Roman" w:hAnsi="Times New Roman" w:cs="Times New Roman"/>
          <w:bCs/>
          <w:sz w:val="24"/>
          <w:szCs w:val="24"/>
          <w:lang w:eastAsia="cs-CZ"/>
        </w:rPr>
        <w:t>dílo</w:t>
      </w:r>
      <w:r w:rsidRPr="00CB062E">
        <w:rPr>
          <w:rFonts w:ascii="Times New Roman" w:eastAsia="Times New Roman" w:hAnsi="Times New Roman" w:cs="Times New Roman"/>
          <w:bCs/>
          <w:sz w:val="24"/>
          <w:szCs w:val="24"/>
          <w:lang w:eastAsia="cs-CZ"/>
        </w:rPr>
        <w:t xml:space="preserve"> mezi statutárním městem Brnem</w:t>
      </w:r>
      <w:r>
        <w:rPr>
          <w:rFonts w:ascii="Times New Roman" w:eastAsia="Times New Roman" w:hAnsi="Times New Roman" w:cs="Times New Roman"/>
          <w:bCs/>
          <w:sz w:val="24"/>
          <w:szCs w:val="24"/>
          <w:lang w:eastAsia="cs-CZ"/>
        </w:rPr>
        <w:t>, Kanceláří architekta města Brna, příspěvkovou organizací, a …</w:t>
      </w:r>
      <w:r w:rsidRPr="00CB062E">
        <w:rPr>
          <w:rFonts w:ascii="Times New Roman" w:eastAsia="Times New Roman" w:hAnsi="Times New Roman" w:cs="Times New Roman"/>
          <w:bCs/>
          <w:sz w:val="24"/>
          <w:szCs w:val="24"/>
          <w:lang w:eastAsia="cs-CZ"/>
        </w:rPr>
        <w:t xml:space="preserve"> byl</w:t>
      </w:r>
      <w:r>
        <w:rPr>
          <w:rFonts w:ascii="Times New Roman" w:eastAsia="Times New Roman" w:hAnsi="Times New Roman" w:cs="Times New Roman"/>
          <w:bCs/>
          <w:sz w:val="24"/>
          <w:szCs w:val="24"/>
          <w:lang w:eastAsia="cs-CZ"/>
        </w:rPr>
        <w:t>a</w:t>
      </w:r>
      <w:r w:rsidRPr="00CB062E">
        <w:rPr>
          <w:rFonts w:ascii="Times New Roman" w:eastAsia="Times New Roman" w:hAnsi="Times New Roman" w:cs="Times New Roman"/>
          <w:bCs/>
          <w:sz w:val="24"/>
          <w:szCs w:val="24"/>
          <w:lang w:eastAsia="cs-CZ"/>
        </w:rPr>
        <w:t xml:space="preserve"> schválen</w:t>
      </w:r>
      <w:r>
        <w:rPr>
          <w:rFonts w:ascii="Times New Roman" w:eastAsia="Times New Roman" w:hAnsi="Times New Roman" w:cs="Times New Roman"/>
          <w:bCs/>
          <w:sz w:val="24"/>
          <w:szCs w:val="24"/>
          <w:lang w:eastAsia="cs-CZ"/>
        </w:rPr>
        <w:t>a</w:t>
      </w:r>
      <w:r w:rsidRPr="00CB062E">
        <w:rPr>
          <w:rFonts w:ascii="Times New Roman" w:eastAsia="Times New Roman" w:hAnsi="Times New Roman" w:cs="Times New Roman"/>
          <w:bCs/>
          <w:sz w:val="24"/>
          <w:szCs w:val="24"/>
          <w:lang w:eastAsia="cs-CZ"/>
        </w:rPr>
        <w:t xml:space="preserve"> na </w:t>
      </w:r>
      <w:r w:rsidR="00017082">
        <w:rPr>
          <w:rFonts w:ascii="Times New Roman" w:eastAsia="Times New Roman" w:hAnsi="Times New Roman" w:cs="Times New Roman"/>
          <w:bCs/>
          <w:sz w:val="24"/>
          <w:szCs w:val="24"/>
          <w:lang w:eastAsia="cs-CZ"/>
        </w:rPr>
        <w:t>R8</w:t>
      </w:r>
      <w:r w:rsidRPr="00CB062E">
        <w:rPr>
          <w:rFonts w:ascii="Times New Roman" w:eastAsia="Times New Roman" w:hAnsi="Times New Roman" w:cs="Times New Roman"/>
          <w:bCs/>
          <w:sz w:val="24"/>
          <w:szCs w:val="24"/>
          <w:lang w:eastAsia="cs-CZ"/>
        </w:rPr>
        <w:t xml:space="preserve">/… </w:t>
      </w:r>
      <w:r w:rsidR="00017082">
        <w:rPr>
          <w:rFonts w:ascii="Times New Roman" w:eastAsia="Times New Roman" w:hAnsi="Times New Roman" w:cs="Times New Roman"/>
          <w:bCs/>
          <w:sz w:val="24"/>
          <w:szCs w:val="24"/>
          <w:lang w:eastAsia="cs-CZ"/>
        </w:rPr>
        <w:t>schůzi Rady</w:t>
      </w:r>
      <w:r w:rsidRPr="00CB062E">
        <w:rPr>
          <w:rFonts w:ascii="Times New Roman" w:eastAsia="Times New Roman" w:hAnsi="Times New Roman" w:cs="Times New Roman"/>
          <w:bCs/>
          <w:sz w:val="24"/>
          <w:szCs w:val="24"/>
          <w:lang w:eastAsia="cs-CZ"/>
        </w:rPr>
        <w:t xml:space="preserve"> města Brna konané dne XX. XX. 20</w:t>
      </w:r>
      <w:r>
        <w:rPr>
          <w:rFonts w:ascii="Times New Roman" w:eastAsia="Times New Roman" w:hAnsi="Times New Roman" w:cs="Times New Roman"/>
          <w:bCs/>
          <w:sz w:val="24"/>
          <w:szCs w:val="24"/>
          <w:lang w:eastAsia="cs-CZ"/>
        </w:rPr>
        <w:t>20</w:t>
      </w:r>
      <w:r w:rsidRPr="00CB062E">
        <w:rPr>
          <w:rFonts w:ascii="Times New Roman" w:eastAsia="Times New Roman" w:hAnsi="Times New Roman" w:cs="Times New Roman"/>
          <w:bCs/>
          <w:sz w:val="24"/>
          <w:szCs w:val="24"/>
          <w:lang w:eastAsia="cs-CZ"/>
        </w:rPr>
        <w:t>.</w:t>
      </w:r>
      <w:r w:rsidRPr="00CB062E">
        <w:rPr>
          <w:rFonts w:ascii="Times New Roman" w:eastAsia="Times New Roman" w:hAnsi="Times New Roman" w:cs="Times New Roman"/>
          <w:bCs/>
          <w:sz w:val="24"/>
          <w:szCs w:val="24"/>
          <w:lang w:eastAsia="cs-CZ"/>
        </w:rPr>
        <w:tab/>
      </w:r>
    </w:p>
    <w:p w14:paraId="71706D7D" w14:textId="47862D3B" w:rsidR="00836DFF" w:rsidRPr="00836DFF" w:rsidRDefault="00836DFF" w:rsidP="00836DFF">
      <w:pPr>
        <w:spacing w:line="276" w:lineRule="auto"/>
      </w:pPr>
      <w:r w:rsidRPr="00836DFF">
        <w:tab/>
        <w:t xml:space="preserve"> </w:t>
      </w:r>
    </w:p>
    <w:p w14:paraId="01253D17" w14:textId="77777777" w:rsidR="00836DFF" w:rsidRPr="00836DFF" w:rsidRDefault="00836DFF" w:rsidP="00836DFF">
      <w:r w:rsidRPr="00836DFF">
        <w:t xml:space="preserve">V Brně dne ……………………… </w:t>
      </w:r>
      <w:r w:rsidRPr="00836DFF">
        <w:tab/>
      </w:r>
      <w:r w:rsidRPr="00836DFF">
        <w:tab/>
        <w:t xml:space="preserve">      V Brně dne ………………………</w:t>
      </w:r>
    </w:p>
    <w:p w14:paraId="0CA54565" w14:textId="77777777" w:rsidR="00836DFF" w:rsidRPr="00836DFF" w:rsidRDefault="00836DFF" w:rsidP="00836DFF">
      <w:pPr>
        <w:rPr>
          <w:rFonts w:ascii="Calibri" w:eastAsia="Calibri" w:hAnsi="Calibri" w:cs="Calibri"/>
          <w:color w:val="000000"/>
        </w:rPr>
      </w:pPr>
    </w:p>
    <w:tbl>
      <w:tblPr>
        <w:tblW w:w="9210" w:type="dxa"/>
        <w:tblInd w:w="-142" w:type="dxa"/>
        <w:tblBorders>
          <w:insideH w:val="nil"/>
          <w:insideV w:val="nil"/>
        </w:tblBorders>
        <w:tblLayout w:type="fixed"/>
        <w:tblLook w:val="0400" w:firstRow="0" w:lastRow="0" w:firstColumn="0" w:lastColumn="0" w:noHBand="0" w:noVBand="1"/>
      </w:tblPr>
      <w:tblGrid>
        <w:gridCol w:w="4676"/>
        <w:gridCol w:w="4534"/>
      </w:tblGrid>
      <w:tr w:rsidR="00836DFF" w:rsidRPr="00836DFF" w14:paraId="12B6F067" w14:textId="77777777" w:rsidTr="0036027E">
        <w:trPr>
          <w:trHeight w:val="232"/>
        </w:trPr>
        <w:tc>
          <w:tcPr>
            <w:tcW w:w="4673" w:type="dxa"/>
            <w:tcBorders>
              <w:top w:val="nil"/>
              <w:left w:val="nil"/>
              <w:bottom w:val="nil"/>
              <w:right w:val="nil"/>
            </w:tcBorders>
            <w:hideMark/>
          </w:tcPr>
          <w:p w14:paraId="3B63E359" w14:textId="77A17570" w:rsidR="00836DFF" w:rsidRPr="00836DFF" w:rsidRDefault="00836DFF" w:rsidP="00836DFF">
            <w:pPr>
              <w:rPr>
                <w:color w:val="000000"/>
              </w:rPr>
            </w:pPr>
            <w:r w:rsidRPr="00836DFF">
              <w:rPr>
                <w:color w:val="000000"/>
              </w:rPr>
              <w:t xml:space="preserve">za </w:t>
            </w:r>
            <w:r w:rsidR="00017082">
              <w:rPr>
                <w:color w:val="000000"/>
              </w:rPr>
              <w:t>O</w:t>
            </w:r>
            <w:r w:rsidRPr="00836DFF">
              <w:rPr>
                <w:color w:val="000000"/>
              </w:rPr>
              <w:t>bjednatele</w:t>
            </w:r>
            <w:r w:rsidR="00017082">
              <w:rPr>
                <w:color w:val="000000"/>
              </w:rPr>
              <w:t xml:space="preserve"> č. 1</w:t>
            </w:r>
            <w:r w:rsidRPr="00836DFF">
              <w:rPr>
                <w:color w:val="000000"/>
              </w:rPr>
              <w:t>:</w:t>
            </w:r>
          </w:p>
        </w:tc>
        <w:tc>
          <w:tcPr>
            <w:tcW w:w="4531" w:type="dxa"/>
            <w:tcBorders>
              <w:top w:val="nil"/>
              <w:left w:val="nil"/>
              <w:bottom w:val="nil"/>
              <w:right w:val="nil"/>
            </w:tcBorders>
            <w:hideMark/>
          </w:tcPr>
          <w:p w14:paraId="0215A065" w14:textId="48D72F9D" w:rsidR="00836DFF" w:rsidRPr="00836DFF" w:rsidRDefault="00836DFF" w:rsidP="00836DFF">
            <w:pPr>
              <w:rPr>
                <w:color w:val="000000"/>
              </w:rPr>
            </w:pPr>
            <w:r w:rsidRPr="00836DFF">
              <w:rPr>
                <w:color w:val="000000"/>
              </w:rPr>
              <w:t xml:space="preserve">za </w:t>
            </w:r>
            <w:r w:rsidR="00017082">
              <w:rPr>
                <w:color w:val="000000"/>
              </w:rPr>
              <w:t>Z</w:t>
            </w:r>
            <w:r w:rsidRPr="00836DFF">
              <w:rPr>
                <w:color w:val="000000"/>
              </w:rPr>
              <w:t xml:space="preserve">hotovitele: </w:t>
            </w:r>
          </w:p>
        </w:tc>
      </w:tr>
      <w:tr w:rsidR="00836DFF" w:rsidRPr="00836DFF" w14:paraId="116D932A" w14:textId="77777777" w:rsidTr="0036027E">
        <w:tc>
          <w:tcPr>
            <w:tcW w:w="4673" w:type="dxa"/>
            <w:tcBorders>
              <w:top w:val="nil"/>
              <w:left w:val="nil"/>
              <w:bottom w:val="nil"/>
              <w:right w:val="nil"/>
            </w:tcBorders>
          </w:tcPr>
          <w:p w14:paraId="0F314B42" w14:textId="77777777" w:rsidR="00836DFF" w:rsidRPr="00836DFF" w:rsidRDefault="00836DFF" w:rsidP="00836DFF">
            <w:pPr>
              <w:rPr>
                <w:color w:val="000000"/>
              </w:rPr>
            </w:pPr>
          </w:p>
          <w:p w14:paraId="7120D10E" w14:textId="77777777" w:rsidR="00836DFF" w:rsidRPr="00836DFF" w:rsidRDefault="00836DFF" w:rsidP="00836DFF">
            <w:pPr>
              <w:rPr>
                <w:color w:val="000000"/>
              </w:rPr>
            </w:pPr>
          </w:p>
          <w:p w14:paraId="1300FB21" w14:textId="77777777" w:rsidR="00836DFF" w:rsidRPr="00836DFF" w:rsidRDefault="00836DFF" w:rsidP="00836DFF">
            <w:pPr>
              <w:rPr>
                <w:color w:val="000000"/>
              </w:rPr>
            </w:pPr>
          </w:p>
          <w:p w14:paraId="27AEC9FA" w14:textId="77777777" w:rsidR="00836DFF" w:rsidRPr="00836DFF" w:rsidRDefault="00836DFF" w:rsidP="00836DFF">
            <w:pPr>
              <w:rPr>
                <w:color w:val="000000"/>
              </w:rPr>
            </w:pPr>
          </w:p>
          <w:p w14:paraId="77873D01" w14:textId="77777777" w:rsidR="00836DFF" w:rsidRPr="00836DFF" w:rsidRDefault="00836DFF" w:rsidP="00836DFF">
            <w:pPr>
              <w:jc w:val="center"/>
              <w:rPr>
                <w:color w:val="000000"/>
              </w:rPr>
            </w:pPr>
          </w:p>
          <w:p w14:paraId="1A3C509E" w14:textId="77777777" w:rsidR="00836DFF" w:rsidRPr="00836DFF" w:rsidRDefault="00836DFF" w:rsidP="00836DFF">
            <w:pPr>
              <w:jc w:val="center"/>
              <w:rPr>
                <w:color w:val="000000"/>
              </w:rPr>
            </w:pPr>
            <w:r w:rsidRPr="00836DFF">
              <w:rPr>
                <w:color w:val="000000"/>
              </w:rPr>
              <w:t>……………………………………………..</w:t>
            </w:r>
          </w:p>
        </w:tc>
        <w:tc>
          <w:tcPr>
            <w:tcW w:w="4531" w:type="dxa"/>
            <w:tcBorders>
              <w:top w:val="nil"/>
              <w:left w:val="nil"/>
              <w:bottom w:val="nil"/>
              <w:right w:val="nil"/>
            </w:tcBorders>
          </w:tcPr>
          <w:p w14:paraId="16ED7D9D" w14:textId="77777777" w:rsidR="00836DFF" w:rsidRPr="00836DFF" w:rsidRDefault="00836DFF" w:rsidP="00836DFF">
            <w:pPr>
              <w:jc w:val="center"/>
              <w:rPr>
                <w:color w:val="000000"/>
              </w:rPr>
            </w:pPr>
          </w:p>
          <w:p w14:paraId="2FF8BD10" w14:textId="77777777" w:rsidR="00836DFF" w:rsidRPr="00836DFF" w:rsidRDefault="00836DFF" w:rsidP="00836DFF">
            <w:pPr>
              <w:jc w:val="center"/>
              <w:rPr>
                <w:color w:val="000000"/>
              </w:rPr>
            </w:pPr>
          </w:p>
          <w:p w14:paraId="7479DE29" w14:textId="77777777" w:rsidR="00836DFF" w:rsidRPr="00836DFF" w:rsidRDefault="00836DFF" w:rsidP="00836DFF">
            <w:pPr>
              <w:jc w:val="center"/>
              <w:rPr>
                <w:color w:val="000000"/>
              </w:rPr>
            </w:pPr>
          </w:p>
          <w:p w14:paraId="024CB273" w14:textId="77777777" w:rsidR="00836DFF" w:rsidRPr="00836DFF" w:rsidRDefault="00836DFF" w:rsidP="00836DFF">
            <w:pPr>
              <w:jc w:val="center"/>
              <w:rPr>
                <w:color w:val="000000"/>
              </w:rPr>
            </w:pPr>
          </w:p>
          <w:p w14:paraId="53669A73" w14:textId="77777777" w:rsidR="00836DFF" w:rsidRPr="00836DFF" w:rsidRDefault="00836DFF" w:rsidP="00836DFF">
            <w:pPr>
              <w:jc w:val="center"/>
              <w:rPr>
                <w:color w:val="000000"/>
              </w:rPr>
            </w:pPr>
          </w:p>
          <w:p w14:paraId="22402238" w14:textId="77777777" w:rsidR="00836DFF" w:rsidRPr="00836DFF" w:rsidRDefault="00836DFF" w:rsidP="00836DFF">
            <w:pPr>
              <w:jc w:val="center"/>
              <w:rPr>
                <w:color w:val="000000"/>
              </w:rPr>
            </w:pPr>
            <w:r w:rsidRPr="00836DFF">
              <w:rPr>
                <w:color w:val="000000"/>
              </w:rPr>
              <w:t>……………………………………………..</w:t>
            </w:r>
          </w:p>
        </w:tc>
      </w:tr>
      <w:tr w:rsidR="00836DFF" w:rsidRPr="00836DFF" w14:paraId="3C501859" w14:textId="77777777" w:rsidTr="0036027E">
        <w:tc>
          <w:tcPr>
            <w:tcW w:w="4673" w:type="dxa"/>
            <w:tcBorders>
              <w:top w:val="nil"/>
              <w:left w:val="nil"/>
              <w:bottom w:val="nil"/>
              <w:right w:val="nil"/>
            </w:tcBorders>
            <w:hideMark/>
          </w:tcPr>
          <w:p w14:paraId="33B37D69" w14:textId="77777777" w:rsidR="00836DFF" w:rsidRPr="00836DFF" w:rsidRDefault="00836DFF" w:rsidP="00836DFF">
            <w:pPr>
              <w:jc w:val="center"/>
              <w:rPr>
                <w:color w:val="000000"/>
              </w:rPr>
            </w:pPr>
            <w:r w:rsidRPr="00836DFF">
              <w:rPr>
                <w:color w:val="000000"/>
              </w:rPr>
              <w:t>Mgr. František Kubeš</w:t>
            </w:r>
          </w:p>
          <w:p w14:paraId="07DF061B" w14:textId="77777777" w:rsidR="00836DFF" w:rsidRPr="00836DFF" w:rsidRDefault="00836DFF" w:rsidP="00836DFF">
            <w:pPr>
              <w:jc w:val="center"/>
              <w:rPr>
                <w:color w:val="000000"/>
              </w:rPr>
            </w:pPr>
            <w:r w:rsidRPr="00836DFF">
              <w:rPr>
                <w:color w:val="000000"/>
              </w:rPr>
              <w:t xml:space="preserve">vedoucí Odboru strategického rozvoje </w:t>
            </w:r>
            <w:r w:rsidRPr="00836DFF">
              <w:rPr>
                <w:color w:val="000000"/>
              </w:rPr>
              <w:br/>
              <w:t>a spolupráce MMB</w:t>
            </w:r>
          </w:p>
        </w:tc>
        <w:tc>
          <w:tcPr>
            <w:tcW w:w="4531" w:type="dxa"/>
            <w:tcBorders>
              <w:top w:val="nil"/>
              <w:left w:val="nil"/>
              <w:bottom w:val="nil"/>
              <w:right w:val="nil"/>
            </w:tcBorders>
            <w:hideMark/>
          </w:tcPr>
          <w:p w14:paraId="11F9EEF0" w14:textId="77777777" w:rsidR="00836DFF" w:rsidRPr="00836DFF" w:rsidRDefault="00836DFF" w:rsidP="00836DFF">
            <w:pPr>
              <w:jc w:val="center"/>
              <w:rPr>
                <w:color w:val="000000"/>
              </w:rPr>
            </w:pPr>
            <w:r w:rsidRPr="00836DFF">
              <w:rPr>
                <w:color w:val="000000"/>
              </w:rPr>
              <w:t>…</w:t>
            </w:r>
            <w:r w:rsidRPr="00836DFF">
              <w:t xml:space="preserve"> </w:t>
            </w:r>
            <w:r w:rsidRPr="00836DFF">
              <w:br/>
              <w:t>…</w:t>
            </w:r>
          </w:p>
        </w:tc>
      </w:tr>
    </w:tbl>
    <w:p w14:paraId="24B6B109" w14:textId="733DF958" w:rsidR="00017082" w:rsidRDefault="00836DFF" w:rsidP="00017082">
      <w:pPr>
        <w:spacing w:line="276" w:lineRule="auto"/>
      </w:pPr>
      <w:r w:rsidRPr="00836DFF">
        <w:t xml:space="preserve">  </w:t>
      </w:r>
      <w:r w:rsidR="00017082" w:rsidRPr="00836DFF">
        <w:tab/>
        <w:t xml:space="preserve"> </w:t>
      </w:r>
    </w:p>
    <w:p w14:paraId="2B93936A" w14:textId="77777777" w:rsidR="00017082" w:rsidRPr="00836DFF" w:rsidRDefault="00017082" w:rsidP="00017082">
      <w:pPr>
        <w:spacing w:line="276" w:lineRule="auto"/>
      </w:pPr>
    </w:p>
    <w:p w14:paraId="0FB27193" w14:textId="117FE9EE" w:rsidR="00017082" w:rsidRPr="00836DFF" w:rsidRDefault="00017082" w:rsidP="00017082">
      <w:r w:rsidRPr="00836DFF">
        <w:t xml:space="preserve">V Brně dne ……………………… </w:t>
      </w:r>
      <w:r w:rsidRPr="00836DFF">
        <w:tab/>
      </w:r>
      <w:r w:rsidRPr="00836DFF">
        <w:tab/>
        <w:t xml:space="preserve">      </w:t>
      </w:r>
    </w:p>
    <w:p w14:paraId="4BBBDCEF" w14:textId="77777777" w:rsidR="00017082" w:rsidRPr="00836DFF" w:rsidRDefault="00017082" w:rsidP="00017082">
      <w:pPr>
        <w:rPr>
          <w:rFonts w:ascii="Calibri" w:eastAsia="Calibri" w:hAnsi="Calibri" w:cs="Calibri"/>
          <w:color w:val="000000"/>
        </w:rPr>
      </w:pPr>
    </w:p>
    <w:tbl>
      <w:tblPr>
        <w:tblW w:w="9210" w:type="dxa"/>
        <w:tblInd w:w="-142" w:type="dxa"/>
        <w:tblBorders>
          <w:insideH w:val="nil"/>
          <w:insideV w:val="nil"/>
        </w:tblBorders>
        <w:tblLayout w:type="fixed"/>
        <w:tblLook w:val="0400" w:firstRow="0" w:lastRow="0" w:firstColumn="0" w:lastColumn="0" w:noHBand="0" w:noVBand="1"/>
      </w:tblPr>
      <w:tblGrid>
        <w:gridCol w:w="4676"/>
        <w:gridCol w:w="4534"/>
      </w:tblGrid>
      <w:tr w:rsidR="00017082" w:rsidRPr="00836DFF" w14:paraId="6E36F3F9" w14:textId="77777777" w:rsidTr="00017082">
        <w:trPr>
          <w:trHeight w:val="232"/>
        </w:trPr>
        <w:tc>
          <w:tcPr>
            <w:tcW w:w="4676" w:type="dxa"/>
            <w:tcBorders>
              <w:top w:val="nil"/>
              <w:left w:val="nil"/>
              <w:bottom w:val="nil"/>
              <w:right w:val="nil"/>
            </w:tcBorders>
            <w:hideMark/>
          </w:tcPr>
          <w:p w14:paraId="01179013" w14:textId="0E5C7014" w:rsidR="00017082" w:rsidRPr="00836DFF" w:rsidRDefault="00017082" w:rsidP="0036027E">
            <w:pPr>
              <w:rPr>
                <w:color w:val="000000"/>
              </w:rPr>
            </w:pPr>
            <w:r w:rsidRPr="00836DFF">
              <w:rPr>
                <w:color w:val="000000"/>
              </w:rPr>
              <w:t xml:space="preserve">za </w:t>
            </w:r>
            <w:r>
              <w:rPr>
                <w:color w:val="000000"/>
              </w:rPr>
              <w:t>O</w:t>
            </w:r>
            <w:r w:rsidRPr="00836DFF">
              <w:rPr>
                <w:color w:val="000000"/>
              </w:rPr>
              <w:t>bjednatele</w:t>
            </w:r>
            <w:r>
              <w:rPr>
                <w:color w:val="000000"/>
              </w:rPr>
              <w:t xml:space="preserve"> č.2</w:t>
            </w:r>
            <w:r w:rsidRPr="00836DFF">
              <w:rPr>
                <w:color w:val="000000"/>
              </w:rPr>
              <w:t>:</w:t>
            </w:r>
          </w:p>
        </w:tc>
        <w:tc>
          <w:tcPr>
            <w:tcW w:w="4534" w:type="dxa"/>
            <w:tcBorders>
              <w:top w:val="nil"/>
              <w:left w:val="nil"/>
              <w:bottom w:val="nil"/>
              <w:right w:val="nil"/>
            </w:tcBorders>
            <w:hideMark/>
          </w:tcPr>
          <w:p w14:paraId="7FFED4CF" w14:textId="5A3A8151" w:rsidR="00017082" w:rsidRPr="00836DFF" w:rsidRDefault="00017082" w:rsidP="0036027E">
            <w:pPr>
              <w:rPr>
                <w:color w:val="000000"/>
              </w:rPr>
            </w:pPr>
          </w:p>
        </w:tc>
      </w:tr>
      <w:tr w:rsidR="00017082" w:rsidRPr="00836DFF" w14:paraId="3777E093" w14:textId="77777777" w:rsidTr="00017082">
        <w:trPr>
          <w:gridAfter w:val="1"/>
          <w:wAfter w:w="4534" w:type="dxa"/>
        </w:trPr>
        <w:tc>
          <w:tcPr>
            <w:tcW w:w="4676" w:type="dxa"/>
            <w:tcBorders>
              <w:top w:val="nil"/>
              <w:left w:val="nil"/>
              <w:bottom w:val="nil"/>
              <w:right w:val="nil"/>
            </w:tcBorders>
          </w:tcPr>
          <w:p w14:paraId="4D3A76B1" w14:textId="77777777" w:rsidR="00017082" w:rsidRPr="00836DFF" w:rsidRDefault="00017082" w:rsidP="0036027E">
            <w:pPr>
              <w:rPr>
                <w:color w:val="000000"/>
              </w:rPr>
            </w:pPr>
          </w:p>
          <w:p w14:paraId="56E8390B" w14:textId="77777777" w:rsidR="00017082" w:rsidRPr="00836DFF" w:rsidRDefault="00017082" w:rsidP="0036027E">
            <w:pPr>
              <w:rPr>
                <w:color w:val="000000"/>
              </w:rPr>
            </w:pPr>
          </w:p>
          <w:p w14:paraId="25E1458C" w14:textId="77777777" w:rsidR="00017082" w:rsidRPr="00836DFF" w:rsidRDefault="00017082" w:rsidP="0036027E">
            <w:pPr>
              <w:rPr>
                <w:color w:val="000000"/>
              </w:rPr>
            </w:pPr>
          </w:p>
          <w:p w14:paraId="4E35CA93" w14:textId="77777777" w:rsidR="00017082" w:rsidRPr="00836DFF" w:rsidRDefault="00017082" w:rsidP="0036027E">
            <w:pPr>
              <w:rPr>
                <w:color w:val="000000"/>
              </w:rPr>
            </w:pPr>
          </w:p>
          <w:p w14:paraId="00A94485" w14:textId="77777777" w:rsidR="00017082" w:rsidRPr="00836DFF" w:rsidRDefault="00017082" w:rsidP="0036027E">
            <w:pPr>
              <w:jc w:val="center"/>
              <w:rPr>
                <w:color w:val="000000"/>
              </w:rPr>
            </w:pPr>
          </w:p>
          <w:p w14:paraId="78B650FE" w14:textId="77777777" w:rsidR="00017082" w:rsidRPr="00836DFF" w:rsidRDefault="00017082" w:rsidP="0036027E">
            <w:pPr>
              <w:jc w:val="center"/>
              <w:rPr>
                <w:color w:val="000000"/>
              </w:rPr>
            </w:pPr>
            <w:r w:rsidRPr="00836DFF">
              <w:rPr>
                <w:color w:val="000000"/>
              </w:rPr>
              <w:t>……………………………………………..</w:t>
            </w:r>
          </w:p>
        </w:tc>
      </w:tr>
      <w:tr w:rsidR="00017082" w:rsidRPr="00836DFF" w14:paraId="78D14798" w14:textId="77777777" w:rsidTr="00017082">
        <w:trPr>
          <w:gridAfter w:val="1"/>
          <w:wAfter w:w="4534" w:type="dxa"/>
        </w:trPr>
        <w:tc>
          <w:tcPr>
            <w:tcW w:w="4676" w:type="dxa"/>
            <w:tcBorders>
              <w:top w:val="nil"/>
              <w:left w:val="nil"/>
              <w:bottom w:val="nil"/>
              <w:right w:val="nil"/>
            </w:tcBorders>
            <w:hideMark/>
          </w:tcPr>
          <w:p w14:paraId="0CEF25D2" w14:textId="7574DFDA" w:rsidR="00017082" w:rsidRPr="00836DFF" w:rsidRDefault="00017082" w:rsidP="0036027E">
            <w:pPr>
              <w:jc w:val="center"/>
              <w:rPr>
                <w:color w:val="000000"/>
              </w:rPr>
            </w:pPr>
            <w:r>
              <w:rPr>
                <w:color w:val="000000"/>
              </w:rPr>
              <w:t>doc. Ing. arch. Michal Sedláček</w:t>
            </w:r>
          </w:p>
          <w:p w14:paraId="4D8AA887" w14:textId="51FCE3D9" w:rsidR="00017082" w:rsidRPr="00836DFF" w:rsidRDefault="00017082" w:rsidP="0036027E">
            <w:pPr>
              <w:jc w:val="center"/>
              <w:rPr>
                <w:color w:val="000000"/>
              </w:rPr>
            </w:pPr>
            <w:r>
              <w:rPr>
                <w:color w:val="000000"/>
              </w:rPr>
              <w:t>ředitel</w:t>
            </w:r>
          </w:p>
        </w:tc>
      </w:tr>
    </w:tbl>
    <w:p w14:paraId="67C2D9C8" w14:textId="0FB49B44" w:rsidR="00836DFF" w:rsidRPr="00836DFF" w:rsidRDefault="00836DFF" w:rsidP="00836DFF">
      <w:pPr>
        <w:spacing w:before="120"/>
        <w:ind w:left="360"/>
        <w:jc w:val="both"/>
      </w:pPr>
    </w:p>
    <w:p w14:paraId="3929CA7D" w14:textId="77777777" w:rsidR="00836DFF" w:rsidRPr="00836DFF" w:rsidRDefault="00836DFF" w:rsidP="00836DFF">
      <w:pPr>
        <w:jc w:val="both"/>
        <w:rPr>
          <w:sz w:val="22"/>
          <w:szCs w:val="22"/>
          <w:u w:val="single"/>
        </w:rPr>
      </w:pPr>
    </w:p>
    <w:p w14:paraId="2479B29C" w14:textId="77777777" w:rsidR="004C10E1" w:rsidRDefault="004C10E1" w:rsidP="00D63575">
      <w:pPr>
        <w:spacing w:after="120"/>
        <w:ind w:right="-66"/>
        <w:jc w:val="both"/>
        <w:rPr>
          <w:spacing w:val="-5"/>
        </w:rPr>
      </w:pPr>
    </w:p>
    <w:p w14:paraId="6BC5CCFB" w14:textId="77777777" w:rsidR="004C10E1" w:rsidRDefault="004C10E1" w:rsidP="00D63575">
      <w:pPr>
        <w:spacing w:after="120"/>
        <w:ind w:right="-66"/>
        <w:jc w:val="both"/>
        <w:rPr>
          <w:spacing w:val="-5"/>
        </w:rPr>
      </w:pPr>
    </w:p>
    <w:p w14:paraId="1E55AFDF" w14:textId="77777777" w:rsidR="004C10E1" w:rsidRDefault="004C10E1" w:rsidP="00D63575">
      <w:pPr>
        <w:spacing w:after="120"/>
        <w:ind w:right="-66"/>
        <w:jc w:val="both"/>
        <w:rPr>
          <w:spacing w:val="-5"/>
        </w:rPr>
      </w:pPr>
    </w:p>
    <w:p w14:paraId="5848CD0F" w14:textId="3CC54AB2" w:rsidR="004C10E1" w:rsidRDefault="004C10E1" w:rsidP="00D63575">
      <w:pPr>
        <w:spacing w:after="120"/>
        <w:ind w:right="-66"/>
        <w:jc w:val="both"/>
        <w:rPr>
          <w:spacing w:val="-5"/>
        </w:rPr>
      </w:pPr>
    </w:p>
    <w:p w14:paraId="77CF6534" w14:textId="6A6A7439" w:rsidR="00E85588" w:rsidRDefault="00E85588" w:rsidP="00D63575">
      <w:pPr>
        <w:spacing w:after="120"/>
        <w:ind w:right="-66"/>
        <w:jc w:val="both"/>
        <w:rPr>
          <w:spacing w:val="-5"/>
        </w:rPr>
      </w:pPr>
    </w:p>
    <w:p w14:paraId="10F9A41F" w14:textId="7019AE2D" w:rsidR="00E85588" w:rsidRDefault="00E85588" w:rsidP="00D63575">
      <w:pPr>
        <w:spacing w:after="120"/>
        <w:ind w:right="-66"/>
        <w:jc w:val="both"/>
        <w:rPr>
          <w:spacing w:val="-5"/>
        </w:rPr>
      </w:pPr>
    </w:p>
    <w:p w14:paraId="243BE50B" w14:textId="28CE91AB" w:rsidR="008E302C" w:rsidRDefault="008E302C" w:rsidP="00D63575">
      <w:pPr>
        <w:spacing w:after="120"/>
        <w:ind w:right="-66"/>
        <w:jc w:val="both"/>
        <w:rPr>
          <w:spacing w:val="-5"/>
        </w:rPr>
      </w:pPr>
    </w:p>
    <w:p w14:paraId="17B70937" w14:textId="63E95061" w:rsidR="008E302C" w:rsidRDefault="008E302C" w:rsidP="00D63575">
      <w:pPr>
        <w:spacing w:after="120"/>
        <w:ind w:right="-66"/>
        <w:jc w:val="both"/>
        <w:rPr>
          <w:spacing w:val="-5"/>
        </w:rPr>
      </w:pPr>
    </w:p>
    <w:p w14:paraId="08BD8B6F" w14:textId="6A9ACDE7" w:rsidR="008E302C" w:rsidRDefault="008E302C" w:rsidP="00D63575">
      <w:pPr>
        <w:spacing w:after="120"/>
        <w:ind w:right="-66"/>
        <w:jc w:val="both"/>
        <w:rPr>
          <w:spacing w:val="-5"/>
        </w:rPr>
      </w:pPr>
    </w:p>
    <w:p w14:paraId="4FDA1A0B" w14:textId="7D25ECE3" w:rsidR="008E302C" w:rsidRDefault="008E302C" w:rsidP="00D63575">
      <w:pPr>
        <w:spacing w:after="120"/>
        <w:ind w:right="-66"/>
        <w:jc w:val="both"/>
        <w:rPr>
          <w:spacing w:val="-5"/>
        </w:rPr>
      </w:pPr>
    </w:p>
    <w:p w14:paraId="32FDB8F3" w14:textId="4AAD1F1D" w:rsidR="008E302C" w:rsidRDefault="008E302C" w:rsidP="00D63575">
      <w:pPr>
        <w:spacing w:after="120"/>
        <w:ind w:right="-66"/>
        <w:jc w:val="both"/>
        <w:rPr>
          <w:spacing w:val="-5"/>
        </w:rPr>
      </w:pPr>
    </w:p>
    <w:p w14:paraId="6E8F7765" w14:textId="10E4520F" w:rsidR="008E302C" w:rsidRDefault="008E302C" w:rsidP="00D63575">
      <w:pPr>
        <w:spacing w:after="120"/>
        <w:ind w:right="-66"/>
        <w:jc w:val="both"/>
        <w:rPr>
          <w:spacing w:val="-5"/>
        </w:rPr>
      </w:pPr>
    </w:p>
    <w:p w14:paraId="222CC060" w14:textId="29DCDBD2" w:rsidR="008E302C" w:rsidRDefault="008E302C" w:rsidP="00D63575">
      <w:pPr>
        <w:spacing w:after="120"/>
        <w:ind w:right="-66"/>
        <w:jc w:val="both"/>
        <w:rPr>
          <w:spacing w:val="-5"/>
        </w:rPr>
      </w:pPr>
    </w:p>
    <w:p w14:paraId="18E9E2EE" w14:textId="5FB37D8E" w:rsidR="008E302C" w:rsidRDefault="008E302C" w:rsidP="00D63575">
      <w:pPr>
        <w:spacing w:after="120"/>
        <w:ind w:right="-66"/>
        <w:jc w:val="both"/>
        <w:rPr>
          <w:spacing w:val="-5"/>
        </w:rPr>
      </w:pPr>
    </w:p>
    <w:p w14:paraId="03E49A2A" w14:textId="73FAEE1C" w:rsidR="008E302C" w:rsidRDefault="008E302C" w:rsidP="00D63575">
      <w:pPr>
        <w:spacing w:after="120"/>
        <w:ind w:right="-66"/>
        <w:jc w:val="both"/>
        <w:rPr>
          <w:spacing w:val="-5"/>
        </w:rPr>
      </w:pPr>
    </w:p>
    <w:p w14:paraId="7C8D927E" w14:textId="77777777" w:rsidR="008E302C" w:rsidRDefault="008E302C" w:rsidP="00D63575">
      <w:pPr>
        <w:spacing w:after="120"/>
        <w:ind w:right="-66"/>
        <w:jc w:val="both"/>
        <w:rPr>
          <w:spacing w:val="-5"/>
        </w:rPr>
      </w:pPr>
    </w:p>
    <w:p w14:paraId="73B18366" w14:textId="77777777" w:rsidR="00836DFF" w:rsidRDefault="00836DFF">
      <w:pPr>
        <w:rPr>
          <w:spacing w:val="-5"/>
        </w:rPr>
      </w:pPr>
      <w:r>
        <w:rPr>
          <w:spacing w:val="-5"/>
        </w:rPr>
        <w:br w:type="page"/>
      </w:r>
    </w:p>
    <w:p w14:paraId="3DFCA5BC" w14:textId="437B7E85" w:rsidR="006176B0" w:rsidRPr="002B4D79" w:rsidRDefault="00181AA2" w:rsidP="00B6753E">
      <w:pPr>
        <w:rPr>
          <w:bCs/>
          <w:spacing w:val="-1"/>
        </w:rPr>
      </w:pPr>
      <w:r w:rsidRPr="004C5FC7">
        <w:rPr>
          <w:spacing w:val="-5"/>
        </w:rPr>
        <w:lastRenderedPageBreak/>
        <w:t xml:space="preserve">Příloha č. 1 smlouvy – Zadání </w:t>
      </w:r>
      <w:r w:rsidR="00FD613F">
        <w:rPr>
          <w:spacing w:val="-5"/>
        </w:rPr>
        <w:t>veřejné zakázky</w:t>
      </w:r>
      <w:r w:rsidR="00B313A5" w:rsidRPr="004C5FC7">
        <w:rPr>
          <w:spacing w:val="-5"/>
        </w:rPr>
        <w:t xml:space="preserve"> </w:t>
      </w:r>
      <w:r w:rsidR="002B4D79" w:rsidRPr="002B4D79">
        <w:rPr>
          <w:bCs/>
        </w:rPr>
        <w:t>„Pohyb obyvatel v Brně dle dat mobilního operátora“</w:t>
      </w:r>
    </w:p>
    <w:p w14:paraId="206EF869" w14:textId="77777777" w:rsidR="004C10E1" w:rsidRPr="004C5FC7" w:rsidRDefault="004C10E1" w:rsidP="00D63575">
      <w:pPr>
        <w:spacing w:after="120"/>
        <w:ind w:right="-66"/>
        <w:jc w:val="both"/>
        <w:rPr>
          <w:b/>
        </w:rPr>
      </w:pPr>
    </w:p>
    <w:p w14:paraId="5C3CA930" w14:textId="110A86E7" w:rsidR="004C517E" w:rsidRPr="004C5FC7" w:rsidRDefault="002B4D79" w:rsidP="00784D41">
      <w:pPr>
        <w:ind w:left="280" w:hanging="280"/>
        <w:jc w:val="center"/>
        <w:rPr>
          <w:b/>
        </w:rPr>
      </w:pPr>
      <w:r w:rsidRPr="40087511">
        <w:rPr>
          <w:b/>
          <w:bCs/>
        </w:rPr>
        <w:t>„</w:t>
      </w:r>
      <w:r>
        <w:rPr>
          <w:b/>
          <w:bCs/>
        </w:rPr>
        <w:t>Pohyb obyvatel v Brně dle dat mobilního operátora</w:t>
      </w:r>
      <w:r w:rsidRPr="40087511">
        <w:rPr>
          <w:b/>
          <w:bCs/>
        </w:rPr>
        <w:t>“</w:t>
      </w:r>
    </w:p>
    <w:p w14:paraId="1E33767F" w14:textId="77777777" w:rsidR="00784D41" w:rsidRPr="004C5FC7" w:rsidRDefault="00784D41" w:rsidP="00784D41">
      <w:pPr>
        <w:ind w:left="280" w:hanging="280"/>
        <w:jc w:val="center"/>
        <w:rPr>
          <w:b/>
        </w:rPr>
      </w:pPr>
    </w:p>
    <w:p w14:paraId="3755BABB" w14:textId="49F0BF60" w:rsidR="006176B0" w:rsidRPr="00032DB6" w:rsidRDefault="004C10E1" w:rsidP="00784D41">
      <w:pPr>
        <w:ind w:left="280" w:hanging="280"/>
        <w:jc w:val="center"/>
        <w:rPr>
          <w:bCs/>
        </w:rPr>
      </w:pPr>
      <w:r w:rsidRPr="004C5FC7">
        <w:rPr>
          <w:bCs/>
        </w:rPr>
        <w:t xml:space="preserve">zadání </w:t>
      </w:r>
      <w:r w:rsidR="002B4D79">
        <w:rPr>
          <w:bCs/>
        </w:rPr>
        <w:t>zakázky</w:t>
      </w:r>
    </w:p>
    <w:p w14:paraId="6EE9748B" w14:textId="77777777" w:rsidR="006176B0" w:rsidRPr="00032DB6" w:rsidRDefault="006176B0" w:rsidP="006176B0">
      <w:pPr>
        <w:pStyle w:val="Zkladntext2"/>
        <w:spacing w:line="240" w:lineRule="auto"/>
        <w:jc w:val="both"/>
        <w:rPr>
          <w:b/>
          <w:spacing w:val="-5"/>
        </w:rPr>
      </w:pPr>
    </w:p>
    <w:p w14:paraId="0D28E5D2" w14:textId="77777777" w:rsidR="006176B0" w:rsidRPr="00032DB6" w:rsidRDefault="006176B0" w:rsidP="00032DB6">
      <w:pPr>
        <w:spacing w:after="120"/>
        <w:jc w:val="both"/>
      </w:pPr>
      <w:r w:rsidRPr="00032DB6">
        <w:rPr>
          <w:b/>
        </w:rPr>
        <w:t>Zadavatel:</w:t>
      </w:r>
      <w:r w:rsidR="00032DB6" w:rsidRPr="00032DB6">
        <w:rPr>
          <w:b/>
        </w:rPr>
        <w:t xml:space="preserve"> </w:t>
      </w:r>
      <w:r w:rsidR="00032DB6">
        <w:t>s</w:t>
      </w:r>
      <w:r w:rsidRPr="00032DB6">
        <w:t>tatutární město Brno</w:t>
      </w:r>
      <w:r w:rsidR="00032DB6" w:rsidRPr="00032DB6">
        <w:t>, D</w:t>
      </w:r>
      <w:r w:rsidRPr="00032DB6">
        <w:t>ominikánské nám. 196/1, PSČ 602 00 Brno</w:t>
      </w:r>
    </w:p>
    <w:p w14:paraId="5BA816B6" w14:textId="23CB05B9" w:rsidR="00B86CCD" w:rsidRDefault="002B4D79" w:rsidP="00032DB6">
      <w:pPr>
        <w:pStyle w:val="normln1str"/>
        <w:spacing w:after="120"/>
        <w:jc w:val="both"/>
        <w:rPr>
          <w:rFonts w:ascii="Times New Roman" w:hAnsi="Times New Roman"/>
        </w:rPr>
      </w:pPr>
      <w:r>
        <w:rPr>
          <w:rFonts w:ascii="Times New Roman" w:hAnsi="Times New Roman"/>
          <w:b/>
        </w:rPr>
        <w:t>Kontaktní osoby</w:t>
      </w:r>
      <w:r w:rsidR="0080106C" w:rsidRPr="00032DB6">
        <w:rPr>
          <w:rFonts w:ascii="Times New Roman" w:hAnsi="Times New Roman"/>
          <w:b/>
        </w:rPr>
        <w:t xml:space="preserve"> za zadavatele</w:t>
      </w:r>
      <w:r w:rsidR="004C517E" w:rsidRPr="00032DB6">
        <w:rPr>
          <w:rFonts w:ascii="Times New Roman" w:hAnsi="Times New Roman"/>
          <w:b/>
        </w:rPr>
        <w:t>:</w:t>
      </w:r>
      <w:r w:rsidR="004C517E" w:rsidRPr="00032DB6">
        <w:rPr>
          <w:rFonts w:ascii="Times New Roman" w:hAnsi="Times New Roman"/>
        </w:rPr>
        <w:t xml:space="preserve"> </w:t>
      </w:r>
      <w:r w:rsidR="003442C6">
        <w:rPr>
          <w:rFonts w:ascii="Times New Roman" w:hAnsi="Times New Roman"/>
        </w:rPr>
        <w:t xml:space="preserve">Mgr. </w:t>
      </w:r>
      <w:r>
        <w:rPr>
          <w:rFonts w:ascii="Times New Roman" w:hAnsi="Times New Roman"/>
        </w:rPr>
        <w:t>Jan Zvara</w:t>
      </w:r>
      <w:r w:rsidR="00B86CCD">
        <w:rPr>
          <w:rFonts w:ascii="Times New Roman" w:hAnsi="Times New Roman"/>
        </w:rPr>
        <w:t>, Ph.D.</w:t>
      </w:r>
      <w:r>
        <w:rPr>
          <w:rFonts w:ascii="Times New Roman" w:hAnsi="Times New Roman"/>
        </w:rPr>
        <w:t>; Mgr. Martin Dvořák</w:t>
      </w:r>
    </w:p>
    <w:p w14:paraId="69872FCA" w14:textId="77777777" w:rsidR="00B86CCD" w:rsidRDefault="00B86CCD" w:rsidP="00032DB6">
      <w:pPr>
        <w:pStyle w:val="normln1str"/>
        <w:spacing w:after="120"/>
        <w:jc w:val="both"/>
        <w:rPr>
          <w:rFonts w:ascii="Times New Roman" w:hAnsi="Times New Roman"/>
        </w:rPr>
      </w:pPr>
    </w:p>
    <w:p w14:paraId="69DB9BD7" w14:textId="4ABBE420" w:rsidR="00032DB6" w:rsidRPr="00032DB6" w:rsidRDefault="00032DB6" w:rsidP="00032DB6">
      <w:pPr>
        <w:pStyle w:val="normln1str"/>
        <w:spacing w:after="120"/>
        <w:jc w:val="both"/>
        <w:rPr>
          <w:rFonts w:ascii="Times New Roman" w:hAnsi="Times New Roman"/>
        </w:rPr>
      </w:pPr>
      <w:r w:rsidRPr="00032DB6">
        <w:rPr>
          <w:rFonts w:ascii="Times New Roman" w:hAnsi="Times New Roman"/>
          <w:b/>
        </w:rPr>
        <w:t>Z</w:t>
      </w:r>
      <w:r w:rsidR="006176B0" w:rsidRPr="00032DB6">
        <w:rPr>
          <w:rFonts w:ascii="Times New Roman" w:hAnsi="Times New Roman"/>
          <w:b/>
        </w:rPr>
        <w:t xml:space="preserve">hotovitel </w:t>
      </w:r>
      <w:r w:rsidR="002B4D79">
        <w:rPr>
          <w:rFonts w:ascii="Times New Roman" w:hAnsi="Times New Roman"/>
          <w:b/>
        </w:rPr>
        <w:t>zakázky</w:t>
      </w:r>
      <w:r w:rsidR="006176B0" w:rsidRPr="00032DB6">
        <w:rPr>
          <w:rFonts w:ascii="Times New Roman" w:hAnsi="Times New Roman"/>
          <w:b/>
        </w:rPr>
        <w:t xml:space="preserve">: </w:t>
      </w:r>
    </w:p>
    <w:p w14:paraId="28F6660B" w14:textId="77777777" w:rsidR="006176B0" w:rsidRPr="00032DB6" w:rsidRDefault="006176B0" w:rsidP="00032DB6">
      <w:pPr>
        <w:pStyle w:val="normln1str"/>
        <w:spacing w:after="120"/>
        <w:jc w:val="both"/>
        <w:rPr>
          <w:rFonts w:ascii="Times New Roman" w:hAnsi="Times New Roman"/>
        </w:rPr>
      </w:pPr>
    </w:p>
    <w:p w14:paraId="0FB56CCC" w14:textId="12831D84" w:rsidR="006176B0" w:rsidRPr="00032DB6" w:rsidRDefault="006176B0" w:rsidP="000401B4">
      <w:pPr>
        <w:pStyle w:val="Odstavecseseznamem"/>
        <w:numPr>
          <w:ilvl w:val="0"/>
          <w:numId w:val="3"/>
        </w:numPr>
        <w:spacing w:after="120"/>
        <w:ind w:left="357" w:hanging="357"/>
        <w:contextualSpacing w:val="0"/>
        <w:jc w:val="both"/>
        <w:rPr>
          <w:b/>
        </w:rPr>
      </w:pPr>
      <w:r w:rsidRPr="00032DB6">
        <w:rPr>
          <w:b/>
        </w:rPr>
        <w:t xml:space="preserve">Kontext a důvody zadání </w:t>
      </w:r>
      <w:r w:rsidR="002B4D79">
        <w:rPr>
          <w:b/>
        </w:rPr>
        <w:t>zakázky</w:t>
      </w:r>
      <w:r w:rsidRPr="00032DB6">
        <w:rPr>
          <w:b/>
        </w:rPr>
        <w:t>:</w:t>
      </w:r>
    </w:p>
    <w:p w14:paraId="77D427AE" w14:textId="77777777" w:rsidR="002B4D79" w:rsidRDefault="002B4D79" w:rsidP="00F43C5C">
      <w:pPr>
        <w:spacing w:after="120"/>
        <w:jc w:val="both"/>
      </w:pPr>
      <w:r>
        <w:t xml:space="preserve">Mobilita obyvatelstva je jedním ze základních rysů novodobé společnosti. Především v urbanizovaných území dosahuje mobilita osob vysokých intenzit a má zásadní dopady do fungování měst a metropolitních regionů. Současně s rostoucí mobilitou osob zároveň dochází k proměnám v dělbě přepravní práce, rytmech každodenní dojížďky či v délce </w:t>
      </w:r>
      <w:proofErr w:type="spellStart"/>
      <w:r>
        <w:t>dojížďkových</w:t>
      </w:r>
      <w:proofErr w:type="spellEnd"/>
      <w:r>
        <w:t xml:space="preserve"> vzdáleností. Důsledky vysoce </w:t>
      </w:r>
      <w:proofErr w:type="spellStart"/>
      <w:r>
        <w:t>mobilitní</w:t>
      </w:r>
      <w:proofErr w:type="spellEnd"/>
      <w:r>
        <w:t xml:space="preserve"> společnosti mají typické projevy v podobě kongescí, nevyhovujících kapacit veřejné dopravy (VD), zatížené dopravní infrastruktury či nebezpečných dopravních úseků.</w:t>
      </w:r>
    </w:p>
    <w:p w14:paraId="210339EB" w14:textId="77777777" w:rsidR="002B4D79" w:rsidRDefault="002B4D79" w:rsidP="00F43C5C">
      <w:pPr>
        <w:spacing w:after="120"/>
        <w:jc w:val="both"/>
      </w:pPr>
      <w:r>
        <w:t xml:space="preserve">Popsané projevy lze sledovat i v Brně a celé metropolitní oblasti. Řešením je efektivní plánování systémů individuální automobilové dopravy (IAD), VD, pěší dopravy, </w:t>
      </w:r>
      <w:proofErr w:type="spellStart"/>
      <w:r>
        <w:t>cyklodopravy</w:t>
      </w:r>
      <w:proofErr w:type="spellEnd"/>
      <w:r>
        <w:t xml:space="preserve"> či dalších alternativních dopravních forem. Nastavení správné koncepce dopravy vyžaduje vstupní data o mobilitě osob, přepravních proudech či dopravním chování. V případě mobility osob je možné využít data z cenzů (Sčítání lidu, domů a bytů – SLDB), které zajišťuje Český statistický úřad (ČSÚ). Tato data však mají své limity – data nepostihují kompletní soubor české (či brněnské) populace (významná část osob v cenzu 2011 neuvedla místo dojížďky do zaměstnání), data jsou aktualizovaná jen jednou za 10 let a data poskytují informaci pouze o pracovní a školní dojížďce. Územnímu a dopravnímu plánování tak chybí relevantní informace o aktuální </w:t>
      </w:r>
      <w:proofErr w:type="spellStart"/>
      <w:r>
        <w:t>mobilitních</w:t>
      </w:r>
      <w:proofErr w:type="spellEnd"/>
      <w:r>
        <w:t xml:space="preserve"> proudech všech obyvatel a taktéž data o dojížďce za službami a data o nepravidelné dojížďce (návštěvníci, turisté, služební </w:t>
      </w:r>
      <w:proofErr w:type="gramStart"/>
      <w:r>
        <w:t>cesty,</w:t>
      </w:r>
      <w:proofErr w:type="gramEnd"/>
      <w:r>
        <w:t xml:space="preserve"> apod.).</w:t>
      </w:r>
    </w:p>
    <w:p w14:paraId="13D1C204" w14:textId="77777777" w:rsidR="002B4D79" w:rsidRDefault="002B4D79" w:rsidP="00F43C5C">
      <w:pPr>
        <w:spacing w:after="120"/>
        <w:jc w:val="both"/>
      </w:pPr>
      <w:r>
        <w:t xml:space="preserve">Kromě konvenčních statistických zdrojů dat bylo až donedávna prakticky nemožné zjistit základní prostorové vzorce různých typů </w:t>
      </w:r>
      <w:proofErr w:type="spellStart"/>
      <w:r>
        <w:t>dojížďkových</w:t>
      </w:r>
      <w:proofErr w:type="spellEnd"/>
      <w:r>
        <w:t xml:space="preserve"> proudů. V poslední době se však v důsledku technologického pokroku a téměř totální penetrace společnosti mobilními technologiemi začala využívat zbytková signalizační data mobilních operátorů jako alternativní zdroj dat poskytující obraz o mobilitě osob. Výhodou těchto dat je celoplošné pokrytí zájmového území (cca 95 % obyvatel využívá mobilní telefon), zachycení časových průběhů cest, možnost poměrně přesného zachycení výchozích a cílových oblastí (v závislosti na hustotě urbanizovaného území, hustotě sítě základních převodních stanic BTS či konfiguraci terénu) a především postihnutí dalších účelů cest kromě pracovní (školní) dojížďky (ačkoliv účel cesty lze jen hrubě odhadovat).</w:t>
      </w:r>
    </w:p>
    <w:p w14:paraId="4A4B32AE" w14:textId="1F5D5BE4" w:rsidR="00784D41" w:rsidRDefault="002B4D79" w:rsidP="00F43C5C">
      <w:pPr>
        <w:spacing w:after="120"/>
        <w:jc w:val="both"/>
      </w:pPr>
      <w:r>
        <w:t xml:space="preserve">V rámci této zakázky tak data o pohybu obyvatel dle mobilního operátora vhodným způsobem doplní stávající datové sady tradiční statistiky. Konkrétně data umožní dosud problematickou validaci (či kalibraci) dopravního modelu města Brna, poskytnou vstupní datovou bázi pro ověřování či nastavení dopravní koncepce města (resp. metropolitní oblasti) a plánu udržitelné </w:t>
      </w:r>
      <w:r>
        <w:lastRenderedPageBreak/>
        <w:t>městské mobility</w:t>
      </w:r>
      <w:r w:rsidR="001C3B18">
        <w:t>, a v neposlední řadě se mohou stát součástí územně analytických podkladů, kde jsou data o mobilitě osob zatím nedostatečně naplněna</w:t>
      </w:r>
      <w:r>
        <w:t>.</w:t>
      </w:r>
      <w:r w:rsidR="001C3B18">
        <w:t xml:space="preserve"> Validace dopravního modelu města Brna navíc pomůže ověřit dopravní vazby, které jsou podkladem pro návrh územního plánu města Brna.  </w:t>
      </w:r>
    </w:p>
    <w:p w14:paraId="31AC4FC0" w14:textId="77777777" w:rsidR="004D2664" w:rsidRPr="00032DB6" w:rsidRDefault="004D2664" w:rsidP="00F43C5C">
      <w:pPr>
        <w:spacing w:after="120"/>
        <w:jc w:val="both"/>
      </w:pPr>
    </w:p>
    <w:p w14:paraId="4D5845E7" w14:textId="6F90372F" w:rsidR="006176B0" w:rsidRPr="00543475" w:rsidRDefault="006176B0" w:rsidP="000401B4">
      <w:pPr>
        <w:pStyle w:val="Odstavecseseznamem"/>
        <w:numPr>
          <w:ilvl w:val="0"/>
          <w:numId w:val="3"/>
        </w:numPr>
        <w:spacing w:after="120"/>
        <w:ind w:left="357" w:hanging="357"/>
        <w:contextualSpacing w:val="0"/>
        <w:jc w:val="both"/>
        <w:rPr>
          <w:b/>
          <w:bCs/>
        </w:rPr>
      </w:pPr>
      <w:r w:rsidRPr="00543475">
        <w:rPr>
          <w:b/>
          <w:bCs/>
        </w:rPr>
        <w:t xml:space="preserve">Cíl </w:t>
      </w:r>
      <w:r w:rsidR="002B4D79">
        <w:rPr>
          <w:b/>
          <w:bCs/>
        </w:rPr>
        <w:t>zakázky</w:t>
      </w:r>
    </w:p>
    <w:p w14:paraId="6189C9C0" w14:textId="3A847204" w:rsidR="002E3186" w:rsidRPr="00032DB6" w:rsidRDefault="002B4D79" w:rsidP="00F43C5C">
      <w:pPr>
        <w:spacing w:after="120"/>
        <w:jc w:val="both"/>
      </w:pPr>
      <w:r w:rsidRPr="002B4D79">
        <w:t>Získat ucelenou představu o počtu cest mající svůj zdroj či cíl ve městě Brně a základní klasifikaci osob dle odhadovaného účelu cest. Cílem je získat přehled o cestách mezi níže definovanými územními jednotkami v daných dnech a s danou délkou pobytu. Ideálním předpokladem je, že informace o zdroji a cíli cesty v jednotlivých časech s možností přibližné identifikace účelu cesty (cesta do práce, domů, aj.) napomůže zefektivnit kalibraci dopravního modelu města Brna.</w:t>
      </w:r>
    </w:p>
    <w:p w14:paraId="7E0DC315" w14:textId="77777777" w:rsidR="002E3186" w:rsidRPr="00032DB6" w:rsidRDefault="002E3186" w:rsidP="00F43C5C">
      <w:pPr>
        <w:spacing w:after="120"/>
        <w:ind w:left="66"/>
      </w:pPr>
    </w:p>
    <w:p w14:paraId="0616E5FD" w14:textId="0905A715" w:rsidR="002B4D79" w:rsidRDefault="002B4D79" w:rsidP="000401B4">
      <w:pPr>
        <w:pStyle w:val="Odstavecseseznamem"/>
        <w:numPr>
          <w:ilvl w:val="0"/>
          <w:numId w:val="3"/>
        </w:numPr>
        <w:spacing w:after="120"/>
        <w:ind w:left="357" w:hanging="357"/>
        <w:contextualSpacing w:val="0"/>
        <w:jc w:val="both"/>
        <w:rPr>
          <w:b/>
          <w:bCs/>
        </w:rPr>
      </w:pPr>
      <w:r>
        <w:rPr>
          <w:b/>
          <w:bCs/>
        </w:rPr>
        <w:t>Specifikace poptávaných dat</w:t>
      </w:r>
    </w:p>
    <w:p w14:paraId="0B6553F6" w14:textId="77777777" w:rsidR="002B4D79" w:rsidRPr="00401657" w:rsidRDefault="002B4D79" w:rsidP="000401B4">
      <w:pPr>
        <w:pStyle w:val="Odstavecseseznamem"/>
        <w:numPr>
          <w:ilvl w:val="0"/>
          <w:numId w:val="9"/>
        </w:numPr>
        <w:spacing w:after="120"/>
        <w:ind w:left="357" w:hanging="357"/>
        <w:jc w:val="both"/>
        <w:rPr>
          <w:b/>
          <w:bCs/>
        </w:rPr>
      </w:pPr>
      <w:r>
        <w:rPr>
          <w:b/>
          <w:bCs/>
        </w:rPr>
        <w:t>Unikátnost jedince v čase a prostoru</w:t>
      </w:r>
    </w:p>
    <w:p w14:paraId="4952B046" w14:textId="77777777" w:rsidR="002B4D79" w:rsidRPr="009A0530" w:rsidRDefault="002B4D79" w:rsidP="00F43C5C">
      <w:pPr>
        <w:spacing w:after="120"/>
        <w:jc w:val="both"/>
        <w:rPr>
          <w:bCs/>
        </w:rPr>
      </w:pPr>
      <w:r w:rsidRPr="009A0530">
        <w:rPr>
          <w:bCs/>
        </w:rPr>
        <w:t>Obecná zásada zpracování časoprostorových informací mobilních sítí je vazba „</w:t>
      </w:r>
      <w:proofErr w:type="gramStart"/>
      <w:r w:rsidRPr="009A0530">
        <w:rPr>
          <w:bCs/>
        </w:rPr>
        <w:t>čas − území</w:t>
      </w:r>
      <w:proofErr w:type="gramEnd"/>
      <w:r w:rsidRPr="009A0530">
        <w:rPr>
          <w:bCs/>
        </w:rPr>
        <w:t>“. K</w:t>
      </w:r>
      <w:r>
        <w:rPr>
          <w:bCs/>
        </w:rPr>
        <w:t>aždá osoba je vzhledem k danému časovému intervalu</w:t>
      </w:r>
      <w:r w:rsidRPr="009A0530">
        <w:rPr>
          <w:bCs/>
        </w:rPr>
        <w:t xml:space="preserve"> a území klasifikována pro daný </w:t>
      </w:r>
      <w:r>
        <w:rPr>
          <w:bCs/>
        </w:rPr>
        <w:t>časový interval</w:t>
      </w:r>
      <w:r w:rsidRPr="009A0530">
        <w:rPr>
          <w:bCs/>
        </w:rPr>
        <w:t xml:space="preserve"> jak</w:t>
      </w:r>
      <w:r>
        <w:rPr>
          <w:bCs/>
        </w:rPr>
        <w:t>o jedinečná. Nemůže být zároveň</w:t>
      </w:r>
      <w:r w:rsidRPr="009A0530">
        <w:rPr>
          <w:bCs/>
        </w:rPr>
        <w:t xml:space="preserve"> ve více kategoriích. Primární klasifikace osob probíhá na základě časoprostorového chování </w:t>
      </w:r>
      <w:proofErr w:type="gramStart"/>
      <w:r w:rsidRPr="009A0530">
        <w:rPr>
          <w:bCs/>
        </w:rPr>
        <w:t>jedince</w:t>
      </w:r>
      <w:proofErr w:type="gramEnd"/>
      <w:r w:rsidRPr="009A0530">
        <w:rPr>
          <w:bCs/>
        </w:rPr>
        <w:t xml:space="preserve"> a to zpětnou analýzou pohybu a výskytu osoby v průběhu 24 hodin.</w:t>
      </w:r>
    </w:p>
    <w:p w14:paraId="04415835" w14:textId="77777777" w:rsidR="002B4D79" w:rsidRPr="009A0530" w:rsidRDefault="002B4D79" w:rsidP="00F43C5C">
      <w:pPr>
        <w:spacing w:after="120"/>
        <w:jc w:val="both"/>
        <w:rPr>
          <w:bCs/>
        </w:rPr>
      </w:pPr>
      <w:r w:rsidRPr="009A0530">
        <w:rPr>
          <w:bCs/>
        </w:rPr>
        <w:t>Denní cyklus začíná v 0:00:00h a končí v 23:59:59h.</w:t>
      </w:r>
    </w:p>
    <w:p w14:paraId="59E19682" w14:textId="77777777" w:rsidR="002B4D79" w:rsidRPr="004A1216" w:rsidRDefault="002B4D79" w:rsidP="004A1216">
      <w:pPr>
        <w:spacing w:after="120"/>
        <w:jc w:val="both"/>
        <w:rPr>
          <w:bCs/>
        </w:rPr>
      </w:pPr>
      <w:r w:rsidRPr="004A1216">
        <w:rPr>
          <w:bCs/>
        </w:rPr>
        <w:t>Platí, že pro interpretaci jevů v území z pohledu mobility obyvatelstva se předpokládá tzv. denní cyklus, který je v praxi a zejména pak v mobilní síti reprezentován faktem, že sčítaná osoba ráno vyjede za svými aktivitami a večer se vrátí zpět do stanice, která se tak stává jeho domovem.</w:t>
      </w:r>
    </w:p>
    <w:p w14:paraId="3E57EE57" w14:textId="77777777" w:rsidR="002B4D79" w:rsidRPr="004A1216" w:rsidRDefault="002B4D79" w:rsidP="004A1216">
      <w:pPr>
        <w:spacing w:after="120"/>
        <w:jc w:val="both"/>
        <w:rPr>
          <w:bCs/>
        </w:rPr>
      </w:pPr>
      <w:r w:rsidRPr="004A1216">
        <w:rPr>
          <w:bCs/>
        </w:rPr>
        <w:t xml:space="preserve">Uchazeč musí garantovat, že každý uživatel je v daném časovém intervalu označen právě jedním statusem a dále, že v daném časovém intervalu je uživatel přiřazen vždy pouze k jednomu územnímu celku, aby nedocházelo k duplicitní registraci uživatele v různých územích (např. obcích, které jsou v zájmovém území). </w:t>
      </w:r>
    </w:p>
    <w:p w14:paraId="3A6A626C" w14:textId="77777777" w:rsidR="002B4D79" w:rsidRPr="004A1216" w:rsidRDefault="002B4D79" w:rsidP="004A1216">
      <w:pPr>
        <w:spacing w:after="240"/>
        <w:jc w:val="both"/>
        <w:rPr>
          <w:b/>
          <w:bCs/>
        </w:rPr>
      </w:pPr>
      <w:r w:rsidRPr="004A1216">
        <w:rPr>
          <w:b/>
          <w:bCs/>
        </w:rPr>
        <w:t>Uchazeč v nabídce stručně popíše, jak unikátnosti jedince v čase a prostoru docílí.</w:t>
      </w:r>
    </w:p>
    <w:p w14:paraId="4B45B0E4" w14:textId="415ECCA0" w:rsidR="002B4D79" w:rsidRDefault="002B4D79" w:rsidP="000401B4">
      <w:pPr>
        <w:pStyle w:val="Odstavecseseznamem"/>
        <w:numPr>
          <w:ilvl w:val="0"/>
          <w:numId w:val="9"/>
        </w:numPr>
        <w:spacing w:after="120"/>
        <w:ind w:left="357" w:hanging="357"/>
        <w:jc w:val="both"/>
        <w:rPr>
          <w:b/>
          <w:bCs/>
        </w:rPr>
      </w:pPr>
      <w:r>
        <w:rPr>
          <w:b/>
          <w:bCs/>
        </w:rPr>
        <w:t>Základní data</w:t>
      </w:r>
      <w:r w:rsidR="00283155">
        <w:rPr>
          <w:b/>
          <w:bCs/>
        </w:rPr>
        <w:t xml:space="preserve"> – primární záznam</w:t>
      </w:r>
    </w:p>
    <w:p w14:paraId="4B9FF9B0" w14:textId="2A3C4067" w:rsidR="002B4D79" w:rsidRDefault="00283155" w:rsidP="00F43C5C">
      <w:pPr>
        <w:spacing w:after="120"/>
        <w:jc w:val="both"/>
        <w:rPr>
          <w:bCs/>
        </w:rPr>
      </w:pPr>
      <w:r>
        <w:rPr>
          <w:bCs/>
        </w:rPr>
        <w:t>Primární záznam</w:t>
      </w:r>
      <w:r w:rsidR="002B4D79" w:rsidRPr="009A0530">
        <w:rPr>
          <w:bCs/>
        </w:rPr>
        <w:t xml:space="preserve"> musí obsahovat 3 údaje</w:t>
      </w:r>
      <w:r w:rsidR="002B4D79">
        <w:rPr>
          <w:bCs/>
        </w:rPr>
        <w:t>:</w:t>
      </w:r>
    </w:p>
    <w:p w14:paraId="533AAD21" w14:textId="77777777" w:rsidR="002B4D79" w:rsidRPr="009A0530" w:rsidRDefault="002B4D79" w:rsidP="000401B4">
      <w:pPr>
        <w:pStyle w:val="Odstavecseseznamem"/>
        <w:numPr>
          <w:ilvl w:val="0"/>
          <w:numId w:val="10"/>
        </w:numPr>
        <w:spacing w:after="120"/>
        <w:jc w:val="both"/>
        <w:rPr>
          <w:bCs/>
        </w:rPr>
      </w:pPr>
      <w:r w:rsidRPr="009A0530">
        <w:rPr>
          <w:bCs/>
        </w:rPr>
        <w:t>jednoznačný identifikátor uživatele (je nutné, aby v datech byl každý uživatel identifikovaný a všechny výskyty v síti byly přiřazeny k příslušenému zařízení),</w:t>
      </w:r>
    </w:p>
    <w:p w14:paraId="0D109CD0" w14:textId="77777777" w:rsidR="002B4D79" w:rsidRDefault="002B4D79" w:rsidP="000401B4">
      <w:pPr>
        <w:pStyle w:val="Odstavecseseznamem"/>
        <w:numPr>
          <w:ilvl w:val="0"/>
          <w:numId w:val="10"/>
        </w:numPr>
        <w:spacing w:after="120"/>
        <w:jc w:val="both"/>
        <w:rPr>
          <w:bCs/>
        </w:rPr>
      </w:pPr>
      <w:r w:rsidRPr="009A0530">
        <w:rPr>
          <w:bCs/>
        </w:rPr>
        <w:t xml:space="preserve">čas kdy došlo k aktivitě (ať již pasivní – periodický update nebo aktivní – hovor, </w:t>
      </w:r>
      <w:proofErr w:type="spellStart"/>
      <w:r w:rsidRPr="009A0530">
        <w:rPr>
          <w:bCs/>
        </w:rPr>
        <w:t>sms</w:t>
      </w:r>
      <w:proofErr w:type="spellEnd"/>
      <w:r w:rsidRPr="009A0530">
        <w:rPr>
          <w:bCs/>
        </w:rPr>
        <w:t xml:space="preserve">, </w:t>
      </w:r>
      <w:proofErr w:type="gramStart"/>
      <w:r w:rsidRPr="009A0530">
        <w:rPr>
          <w:bCs/>
        </w:rPr>
        <w:t>data,</w:t>
      </w:r>
      <w:proofErr w:type="gramEnd"/>
      <w:r w:rsidRPr="009A0530">
        <w:rPr>
          <w:bCs/>
        </w:rPr>
        <w:t xml:space="preserve"> atd.)</w:t>
      </w:r>
      <w:r>
        <w:rPr>
          <w:bCs/>
        </w:rPr>
        <w:t>;</w:t>
      </w:r>
    </w:p>
    <w:p w14:paraId="515C9886" w14:textId="647F691C" w:rsidR="002B4D79" w:rsidRDefault="002B4D79" w:rsidP="000401B4">
      <w:pPr>
        <w:pStyle w:val="Odstavecseseznamem"/>
        <w:numPr>
          <w:ilvl w:val="0"/>
          <w:numId w:val="10"/>
        </w:numPr>
        <w:spacing w:after="240"/>
        <w:ind w:left="714" w:hanging="357"/>
        <w:contextualSpacing w:val="0"/>
        <w:jc w:val="both"/>
        <w:rPr>
          <w:bCs/>
        </w:rPr>
      </w:pPr>
      <w:r w:rsidRPr="009A0530">
        <w:rPr>
          <w:bCs/>
        </w:rPr>
        <w:t>ID buňky</w:t>
      </w:r>
      <w:r>
        <w:rPr>
          <w:bCs/>
        </w:rPr>
        <w:t xml:space="preserve"> (místo výskytu)</w:t>
      </w:r>
    </w:p>
    <w:p w14:paraId="06F05222" w14:textId="7460146D" w:rsidR="00283155" w:rsidRPr="00283155" w:rsidRDefault="00283155" w:rsidP="00283155">
      <w:pPr>
        <w:spacing w:after="240"/>
        <w:jc w:val="both"/>
        <w:rPr>
          <w:bCs/>
        </w:rPr>
      </w:pPr>
      <w:r>
        <w:rPr>
          <w:bCs/>
        </w:rPr>
        <w:t>Struktura těchto 3 údajů je zásadní pro odvození prostorového chování všech uživatelů. Primární záznam není poptáván.</w:t>
      </w:r>
    </w:p>
    <w:p w14:paraId="5838D202" w14:textId="5CC6ADE7" w:rsidR="00FE4A81" w:rsidRDefault="00FE4A81" w:rsidP="000401B4">
      <w:pPr>
        <w:pStyle w:val="Odstavecseseznamem"/>
        <w:numPr>
          <w:ilvl w:val="0"/>
          <w:numId w:val="9"/>
        </w:numPr>
        <w:spacing w:after="120"/>
        <w:ind w:left="357" w:hanging="357"/>
        <w:jc w:val="both"/>
        <w:rPr>
          <w:b/>
          <w:bCs/>
        </w:rPr>
      </w:pPr>
      <w:r>
        <w:rPr>
          <w:b/>
          <w:bCs/>
        </w:rPr>
        <w:t>Druhy sítí</w:t>
      </w:r>
    </w:p>
    <w:p w14:paraId="22CB517E" w14:textId="77777777" w:rsidR="00FE4A81" w:rsidRDefault="00FE4A81" w:rsidP="00FE4A81">
      <w:pPr>
        <w:spacing w:before="120" w:after="120"/>
        <w:jc w:val="both"/>
      </w:pPr>
      <w:r>
        <w:lastRenderedPageBreak/>
        <w:t>Různé druhy sítí (2G, 3G, LTE v jednotlivých typech) mají plošné pokrytí území různého rozsahu, buňky jsou různě velké a navzájem se překrývají.</w:t>
      </w:r>
    </w:p>
    <w:p w14:paraId="038165E8" w14:textId="01AC6034" w:rsidR="00FE4A81" w:rsidRPr="00FE4A81" w:rsidRDefault="00FE4A81" w:rsidP="00FE4A81">
      <w:pPr>
        <w:spacing w:after="240"/>
        <w:jc w:val="both"/>
        <w:rPr>
          <w:b/>
        </w:rPr>
      </w:pPr>
      <w:r w:rsidRPr="00FE4A81">
        <w:rPr>
          <w:b/>
        </w:rPr>
        <w:t>Uchazeč popíše, jak se technicky vyrovnává s přeskakováním přihlašování uživatelů do různých druhů sítí. Uchazeč uvede, jaké jsou možné důsledky tohoto aspektu pro vyhodnocování zbytkových signalizačních dat a jak je případně minimalizováno riziko chybovosti vznikající v důsledku různých druhů sítí.</w:t>
      </w:r>
    </w:p>
    <w:p w14:paraId="021C8E0D" w14:textId="77777777" w:rsidR="002B4D79" w:rsidRPr="00401657" w:rsidRDefault="002B4D79" w:rsidP="000401B4">
      <w:pPr>
        <w:pStyle w:val="Odstavecseseznamem"/>
        <w:numPr>
          <w:ilvl w:val="0"/>
          <w:numId w:val="9"/>
        </w:numPr>
        <w:spacing w:after="120"/>
        <w:ind w:left="357" w:hanging="357"/>
        <w:jc w:val="both"/>
        <w:rPr>
          <w:b/>
          <w:bCs/>
        </w:rPr>
      </w:pPr>
      <w:r w:rsidRPr="00401657">
        <w:rPr>
          <w:b/>
          <w:bCs/>
        </w:rPr>
        <w:t>Prostorové vymezení</w:t>
      </w:r>
    </w:p>
    <w:p w14:paraId="64B480B5" w14:textId="7BBA8F18" w:rsidR="0062450E" w:rsidRDefault="0062450E" w:rsidP="0062450E">
      <w:pPr>
        <w:spacing w:after="120"/>
        <w:jc w:val="both"/>
      </w:pPr>
      <w:r w:rsidRPr="004B4A1D">
        <w:t xml:space="preserve">V případě </w:t>
      </w:r>
      <w:r>
        <w:t xml:space="preserve">poptávané </w:t>
      </w:r>
      <w:r w:rsidRPr="004B4A1D">
        <w:t>dynamické úlohy je nutné definovat nejen základní zájmové území, ale také území zdrojové/cílové pro analyzovanou vyjížďku/dojížďku</w:t>
      </w:r>
      <w:r>
        <w:t>.</w:t>
      </w:r>
    </w:p>
    <w:p w14:paraId="2F63A6C0" w14:textId="6D0CD6FF" w:rsidR="0062450E" w:rsidRDefault="0062450E" w:rsidP="0062450E">
      <w:pPr>
        <w:spacing w:after="120"/>
        <w:jc w:val="both"/>
        <w:rPr>
          <w:b/>
        </w:rPr>
      </w:pPr>
      <w:r>
        <w:t>Základní zájmové území je město B</w:t>
      </w:r>
      <w:r w:rsidR="00FE4A81">
        <w:t xml:space="preserve">rno. Jedná se o všechny cesty (ve smyslu přehlášení se z jedné BTS na druhou a splňující parametry cest – viz níže), které proběhnou mezi buňkami sítě na území Brna vzájemně mezi sebou a mezi buňkami sítě na území Brna a buňkami sítě za hranicí území města Brna. Cesty mající zdrojové a cílové místo v buňkách sítě mimo území města Brna nejsou relevantní. </w:t>
      </w:r>
    </w:p>
    <w:p w14:paraId="1C82274C" w14:textId="3DD556B6" w:rsidR="002B4D79" w:rsidRPr="00950297" w:rsidRDefault="00950297" w:rsidP="00F43C5C">
      <w:pPr>
        <w:spacing w:after="120"/>
        <w:jc w:val="both"/>
      </w:pPr>
      <w:r w:rsidRPr="00950297">
        <w:t xml:space="preserve">Matice </w:t>
      </w:r>
      <w:r w:rsidR="0062450E" w:rsidRPr="00950297">
        <w:t xml:space="preserve">uskutečněných cest </w:t>
      </w:r>
      <w:r w:rsidRPr="00950297">
        <w:t xml:space="preserve">je </w:t>
      </w:r>
      <w:r w:rsidR="002B4D79" w:rsidRPr="00950297">
        <w:t>požadována dle následujícího prostorového vymezení:</w:t>
      </w:r>
    </w:p>
    <w:p w14:paraId="482A4649" w14:textId="77777777" w:rsidR="002B4D79" w:rsidRPr="00950297" w:rsidRDefault="002B4D79" w:rsidP="000401B4">
      <w:pPr>
        <w:pStyle w:val="Odstavecseseznamem"/>
        <w:numPr>
          <w:ilvl w:val="0"/>
          <w:numId w:val="8"/>
        </w:numPr>
        <w:spacing w:after="120"/>
        <w:ind w:left="714" w:hanging="357"/>
        <w:jc w:val="both"/>
      </w:pPr>
      <w:r w:rsidRPr="00950297">
        <w:t>Území města Brna – preferujeme úroveň katastrálního území (48 jednotek)</w:t>
      </w:r>
    </w:p>
    <w:p w14:paraId="18D7276D" w14:textId="77777777" w:rsidR="002B4D79" w:rsidRDefault="002B4D79" w:rsidP="000401B4">
      <w:pPr>
        <w:pStyle w:val="Odstavecseseznamem"/>
        <w:numPr>
          <w:ilvl w:val="0"/>
          <w:numId w:val="8"/>
        </w:numPr>
        <w:spacing w:after="120"/>
        <w:ind w:left="714" w:hanging="357"/>
        <w:jc w:val="both"/>
      </w:pPr>
      <w:r>
        <w:t>Okres Brno-venkov – úroveň obce (187 jednotek)</w:t>
      </w:r>
    </w:p>
    <w:p w14:paraId="11105053" w14:textId="77777777" w:rsidR="002B4D79" w:rsidRDefault="002B4D79" w:rsidP="000401B4">
      <w:pPr>
        <w:pStyle w:val="Odstavecseseznamem"/>
        <w:numPr>
          <w:ilvl w:val="0"/>
          <w:numId w:val="8"/>
        </w:numPr>
        <w:spacing w:after="120"/>
        <w:ind w:left="714" w:hanging="357"/>
        <w:jc w:val="both"/>
      </w:pPr>
      <w:r>
        <w:t>Jihomoravský kraj mimo okres Brno-</w:t>
      </w:r>
      <w:proofErr w:type="gramStart"/>
      <w:r>
        <w:t>venkov  –</w:t>
      </w:r>
      <w:proofErr w:type="gramEnd"/>
      <w:r>
        <w:t xml:space="preserve"> úroveň SO ORP (15 jednotek)</w:t>
      </w:r>
    </w:p>
    <w:p w14:paraId="39E63DD2" w14:textId="77777777" w:rsidR="002B4D79" w:rsidRDefault="002B4D79" w:rsidP="000401B4">
      <w:pPr>
        <w:pStyle w:val="Odstavecseseznamem"/>
        <w:numPr>
          <w:ilvl w:val="0"/>
          <w:numId w:val="8"/>
        </w:numPr>
        <w:spacing w:after="120"/>
        <w:ind w:left="714" w:hanging="357"/>
        <w:jc w:val="both"/>
      </w:pPr>
      <w:r>
        <w:t>Jiné kraje ČR – úroveň krajů (13 jednotek)</w:t>
      </w:r>
    </w:p>
    <w:p w14:paraId="50DE6792" w14:textId="77777777" w:rsidR="002B4D79" w:rsidRDefault="002B4D79" w:rsidP="000401B4">
      <w:pPr>
        <w:pStyle w:val="Odstavecseseznamem"/>
        <w:numPr>
          <w:ilvl w:val="0"/>
          <w:numId w:val="8"/>
        </w:numPr>
        <w:spacing w:after="120"/>
        <w:ind w:left="714" w:hanging="357"/>
        <w:jc w:val="both"/>
      </w:pPr>
      <w:r>
        <w:t>Mimo ČR – zahraničí (1 jednotka)</w:t>
      </w:r>
    </w:p>
    <w:p w14:paraId="7F383469" w14:textId="77777777" w:rsidR="002B4D79" w:rsidRDefault="002B4D79" w:rsidP="00F43C5C">
      <w:pPr>
        <w:spacing w:after="120"/>
        <w:jc w:val="both"/>
      </w:pPr>
      <w:r>
        <w:t>Sledované prostorové vztahy v daném územním vymezení:</w:t>
      </w:r>
    </w:p>
    <w:tbl>
      <w:tblPr>
        <w:tblW w:w="9062" w:type="dxa"/>
        <w:tblCellMar>
          <w:left w:w="70" w:type="dxa"/>
          <w:right w:w="70" w:type="dxa"/>
        </w:tblCellMar>
        <w:tblLook w:val="04A0" w:firstRow="1" w:lastRow="0" w:firstColumn="1" w:lastColumn="0" w:noHBand="0" w:noVBand="1"/>
      </w:tblPr>
      <w:tblGrid>
        <w:gridCol w:w="1318"/>
        <w:gridCol w:w="798"/>
        <w:gridCol w:w="529"/>
        <w:gridCol w:w="318"/>
        <w:gridCol w:w="784"/>
        <w:gridCol w:w="736"/>
        <w:gridCol w:w="300"/>
        <w:gridCol w:w="746"/>
        <w:gridCol w:w="737"/>
        <w:gridCol w:w="300"/>
        <w:gridCol w:w="772"/>
        <w:gridCol w:w="708"/>
        <w:gridCol w:w="300"/>
        <w:gridCol w:w="721"/>
      </w:tblGrid>
      <w:tr w:rsidR="002B4D79" w:rsidRPr="000E59F5" w14:paraId="76B7090D" w14:textId="77777777" w:rsidTr="002B4D79">
        <w:trPr>
          <w:trHeight w:val="256"/>
        </w:trPr>
        <w:tc>
          <w:tcPr>
            <w:tcW w:w="211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FA153" w14:textId="77777777" w:rsidR="002B4D79" w:rsidRPr="000E59F5" w:rsidRDefault="002B4D79" w:rsidP="00F43C5C">
            <w:pPr>
              <w:spacing w:after="120"/>
              <w:jc w:val="both"/>
              <w:rPr>
                <w:bCs/>
                <w:color w:val="000000"/>
                <w:sz w:val="16"/>
                <w:szCs w:val="16"/>
              </w:rPr>
            </w:pPr>
            <w:r w:rsidRPr="000E59F5">
              <w:rPr>
                <w:bCs/>
                <w:color w:val="000000"/>
                <w:sz w:val="16"/>
                <w:szCs w:val="16"/>
              </w:rPr>
              <w:t>Na úrovni katastrálních území</w:t>
            </w:r>
          </w:p>
        </w:tc>
        <w:tc>
          <w:tcPr>
            <w:tcW w:w="1631" w:type="dxa"/>
            <w:gridSpan w:val="3"/>
            <w:tcBorders>
              <w:top w:val="single" w:sz="4" w:space="0" w:color="auto"/>
              <w:left w:val="nil"/>
              <w:bottom w:val="single" w:sz="4" w:space="0" w:color="auto"/>
              <w:right w:val="single" w:sz="4" w:space="0" w:color="auto"/>
            </w:tcBorders>
            <w:shd w:val="clear" w:color="000000" w:fill="FFFFFF"/>
            <w:vAlign w:val="center"/>
            <w:hideMark/>
          </w:tcPr>
          <w:p w14:paraId="661CA652" w14:textId="77777777" w:rsidR="002B4D79" w:rsidRPr="000E59F5" w:rsidRDefault="002B4D79" w:rsidP="00F43C5C">
            <w:pPr>
              <w:spacing w:after="120"/>
              <w:jc w:val="both"/>
              <w:rPr>
                <w:bCs/>
                <w:color w:val="000000"/>
                <w:sz w:val="16"/>
                <w:szCs w:val="16"/>
              </w:rPr>
            </w:pPr>
            <w:r w:rsidRPr="000E59F5">
              <w:rPr>
                <w:bCs/>
                <w:color w:val="000000"/>
                <w:sz w:val="16"/>
                <w:szCs w:val="16"/>
              </w:rPr>
              <w:t>cíl Brno</w:t>
            </w:r>
          </w:p>
        </w:tc>
        <w:tc>
          <w:tcPr>
            <w:tcW w:w="1781" w:type="dxa"/>
            <w:gridSpan w:val="3"/>
            <w:tcBorders>
              <w:top w:val="single" w:sz="4" w:space="0" w:color="auto"/>
              <w:left w:val="nil"/>
              <w:bottom w:val="single" w:sz="4" w:space="0" w:color="auto"/>
              <w:right w:val="single" w:sz="4" w:space="0" w:color="auto"/>
            </w:tcBorders>
            <w:shd w:val="clear" w:color="000000" w:fill="FFFFFF"/>
            <w:vAlign w:val="center"/>
            <w:hideMark/>
          </w:tcPr>
          <w:p w14:paraId="74258854" w14:textId="77777777" w:rsidR="002B4D79" w:rsidRPr="000E59F5" w:rsidRDefault="002B4D79" w:rsidP="00F43C5C">
            <w:pPr>
              <w:spacing w:after="120"/>
              <w:jc w:val="both"/>
              <w:rPr>
                <w:bCs/>
                <w:color w:val="000000"/>
                <w:sz w:val="16"/>
                <w:szCs w:val="16"/>
              </w:rPr>
            </w:pPr>
            <w:r w:rsidRPr="000E59F5">
              <w:rPr>
                <w:bCs/>
                <w:color w:val="000000"/>
                <w:sz w:val="16"/>
                <w:szCs w:val="16"/>
              </w:rPr>
              <w:t>cíl Brno-Venkov</w:t>
            </w:r>
          </w:p>
        </w:tc>
        <w:tc>
          <w:tcPr>
            <w:tcW w:w="1806" w:type="dxa"/>
            <w:gridSpan w:val="3"/>
            <w:tcBorders>
              <w:top w:val="single" w:sz="4" w:space="0" w:color="auto"/>
              <w:left w:val="nil"/>
              <w:bottom w:val="single" w:sz="4" w:space="0" w:color="auto"/>
              <w:right w:val="single" w:sz="4" w:space="0" w:color="auto"/>
            </w:tcBorders>
            <w:shd w:val="clear" w:color="000000" w:fill="FFFFFF"/>
            <w:vAlign w:val="center"/>
            <w:hideMark/>
          </w:tcPr>
          <w:p w14:paraId="5EEBF7F9" w14:textId="77777777" w:rsidR="002B4D79" w:rsidRPr="000E59F5" w:rsidRDefault="002B4D79" w:rsidP="00F43C5C">
            <w:pPr>
              <w:spacing w:after="120"/>
              <w:jc w:val="both"/>
              <w:rPr>
                <w:bCs/>
                <w:color w:val="000000"/>
                <w:sz w:val="16"/>
                <w:szCs w:val="16"/>
              </w:rPr>
            </w:pPr>
            <w:r w:rsidRPr="000E59F5">
              <w:rPr>
                <w:bCs/>
                <w:color w:val="000000"/>
                <w:sz w:val="16"/>
                <w:szCs w:val="16"/>
              </w:rPr>
              <w:t>cíl mimo B a B-V v Jihomoravském kraji</w:t>
            </w:r>
          </w:p>
        </w:tc>
        <w:tc>
          <w:tcPr>
            <w:tcW w:w="1728" w:type="dxa"/>
            <w:gridSpan w:val="3"/>
            <w:tcBorders>
              <w:top w:val="single" w:sz="4" w:space="0" w:color="auto"/>
              <w:left w:val="nil"/>
              <w:bottom w:val="single" w:sz="4" w:space="0" w:color="auto"/>
              <w:right w:val="single" w:sz="4" w:space="0" w:color="auto"/>
            </w:tcBorders>
            <w:shd w:val="clear" w:color="000000" w:fill="FFFFFF"/>
            <w:vAlign w:val="center"/>
            <w:hideMark/>
          </w:tcPr>
          <w:p w14:paraId="1D94F63B" w14:textId="77777777" w:rsidR="002B4D79" w:rsidRPr="000E59F5" w:rsidRDefault="002B4D79" w:rsidP="00F43C5C">
            <w:pPr>
              <w:spacing w:after="120"/>
              <w:jc w:val="both"/>
              <w:rPr>
                <w:bCs/>
                <w:color w:val="000000"/>
                <w:sz w:val="16"/>
                <w:szCs w:val="16"/>
              </w:rPr>
            </w:pPr>
            <w:r w:rsidRPr="000E59F5">
              <w:rPr>
                <w:bCs/>
                <w:color w:val="000000"/>
                <w:sz w:val="16"/>
                <w:szCs w:val="16"/>
              </w:rPr>
              <w:t>cíl pro ostatní území</w:t>
            </w:r>
          </w:p>
        </w:tc>
      </w:tr>
      <w:tr w:rsidR="002B4D79" w:rsidRPr="000E59F5" w14:paraId="5D56709B" w14:textId="77777777" w:rsidTr="002B4D79">
        <w:trPr>
          <w:trHeight w:val="256"/>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14:paraId="66E32CD5" w14:textId="77777777" w:rsidR="002B4D79" w:rsidRPr="000E59F5" w:rsidRDefault="002B4D79" w:rsidP="00F43C5C">
            <w:pPr>
              <w:spacing w:after="120"/>
              <w:jc w:val="both"/>
              <w:rPr>
                <w:bCs/>
                <w:color w:val="000000"/>
                <w:sz w:val="16"/>
                <w:szCs w:val="16"/>
              </w:rPr>
            </w:pPr>
          </w:p>
        </w:tc>
        <w:tc>
          <w:tcPr>
            <w:tcW w:w="529" w:type="dxa"/>
            <w:tcBorders>
              <w:top w:val="nil"/>
              <w:left w:val="nil"/>
              <w:bottom w:val="single" w:sz="4" w:space="0" w:color="auto"/>
              <w:right w:val="single" w:sz="4" w:space="0" w:color="auto"/>
            </w:tcBorders>
            <w:shd w:val="clear" w:color="000000" w:fill="FFFFFF"/>
            <w:noWrap/>
            <w:vAlign w:val="center"/>
            <w:hideMark/>
          </w:tcPr>
          <w:p w14:paraId="343BE3FC" w14:textId="77777777" w:rsidR="002B4D79" w:rsidRPr="000E59F5" w:rsidRDefault="002B4D79" w:rsidP="00F43C5C">
            <w:pPr>
              <w:spacing w:after="120"/>
              <w:jc w:val="both"/>
              <w:rPr>
                <w:bCs/>
                <w:color w:val="000000"/>
                <w:sz w:val="16"/>
                <w:szCs w:val="16"/>
              </w:rPr>
            </w:pPr>
            <w:r w:rsidRPr="000E59F5">
              <w:rPr>
                <w:bCs/>
                <w:color w:val="000000"/>
                <w:sz w:val="16"/>
                <w:szCs w:val="16"/>
              </w:rPr>
              <w:t>ku1</w:t>
            </w:r>
          </w:p>
        </w:tc>
        <w:tc>
          <w:tcPr>
            <w:tcW w:w="318" w:type="dxa"/>
            <w:tcBorders>
              <w:top w:val="nil"/>
              <w:left w:val="nil"/>
              <w:bottom w:val="single" w:sz="4" w:space="0" w:color="auto"/>
              <w:right w:val="single" w:sz="4" w:space="0" w:color="auto"/>
            </w:tcBorders>
            <w:shd w:val="clear" w:color="000000" w:fill="FFFFFF"/>
            <w:noWrap/>
            <w:vAlign w:val="center"/>
            <w:hideMark/>
          </w:tcPr>
          <w:p w14:paraId="78A61701" w14:textId="77777777" w:rsidR="002B4D79" w:rsidRPr="000E59F5" w:rsidRDefault="002B4D79" w:rsidP="00F43C5C">
            <w:pPr>
              <w:spacing w:after="120"/>
              <w:jc w:val="both"/>
              <w:rPr>
                <w:bCs/>
                <w:color w:val="000000"/>
                <w:sz w:val="16"/>
                <w:szCs w:val="16"/>
              </w:rPr>
            </w:pPr>
            <w:r w:rsidRPr="000E59F5">
              <w:rPr>
                <w:bCs/>
                <w:color w:val="000000"/>
                <w:sz w:val="16"/>
                <w:szCs w:val="16"/>
              </w:rPr>
              <w:t>…</w:t>
            </w:r>
          </w:p>
        </w:tc>
        <w:tc>
          <w:tcPr>
            <w:tcW w:w="784" w:type="dxa"/>
            <w:tcBorders>
              <w:top w:val="nil"/>
              <w:left w:val="nil"/>
              <w:bottom w:val="single" w:sz="4" w:space="0" w:color="auto"/>
              <w:right w:val="single" w:sz="4" w:space="0" w:color="auto"/>
            </w:tcBorders>
            <w:shd w:val="clear" w:color="000000" w:fill="FFFFFF"/>
            <w:noWrap/>
            <w:vAlign w:val="center"/>
            <w:hideMark/>
          </w:tcPr>
          <w:p w14:paraId="16CD871D" w14:textId="77777777" w:rsidR="002B4D79" w:rsidRPr="000E59F5" w:rsidRDefault="002B4D79" w:rsidP="00F43C5C">
            <w:pPr>
              <w:spacing w:after="120"/>
              <w:jc w:val="both"/>
              <w:rPr>
                <w:bCs/>
                <w:color w:val="000000"/>
                <w:sz w:val="16"/>
                <w:szCs w:val="16"/>
              </w:rPr>
            </w:pPr>
            <w:r w:rsidRPr="000E59F5">
              <w:rPr>
                <w:bCs/>
                <w:color w:val="000000"/>
                <w:sz w:val="16"/>
                <w:szCs w:val="16"/>
              </w:rPr>
              <w:t>ku48</w:t>
            </w:r>
          </w:p>
        </w:tc>
        <w:tc>
          <w:tcPr>
            <w:tcW w:w="736" w:type="dxa"/>
            <w:tcBorders>
              <w:top w:val="nil"/>
              <w:left w:val="nil"/>
              <w:bottom w:val="single" w:sz="4" w:space="0" w:color="auto"/>
              <w:right w:val="single" w:sz="4" w:space="0" w:color="auto"/>
            </w:tcBorders>
            <w:shd w:val="clear" w:color="000000" w:fill="FFFFFF"/>
            <w:noWrap/>
            <w:vAlign w:val="center"/>
            <w:hideMark/>
          </w:tcPr>
          <w:p w14:paraId="65C51FDA" w14:textId="77777777" w:rsidR="002B4D79" w:rsidRPr="000E59F5" w:rsidRDefault="002B4D79" w:rsidP="00F43C5C">
            <w:pPr>
              <w:spacing w:after="120"/>
              <w:jc w:val="both"/>
              <w:rPr>
                <w:bCs/>
                <w:color w:val="000000"/>
                <w:sz w:val="16"/>
                <w:szCs w:val="16"/>
              </w:rPr>
            </w:pPr>
            <w:r w:rsidRPr="000E59F5">
              <w:rPr>
                <w:bCs/>
                <w:color w:val="000000"/>
                <w:sz w:val="16"/>
                <w:szCs w:val="16"/>
              </w:rPr>
              <w:t>obec 1</w:t>
            </w:r>
          </w:p>
        </w:tc>
        <w:tc>
          <w:tcPr>
            <w:tcW w:w="299" w:type="dxa"/>
            <w:tcBorders>
              <w:top w:val="nil"/>
              <w:left w:val="nil"/>
              <w:bottom w:val="single" w:sz="4" w:space="0" w:color="auto"/>
              <w:right w:val="single" w:sz="4" w:space="0" w:color="auto"/>
            </w:tcBorders>
            <w:shd w:val="clear" w:color="000000" w:fill="FFFFFF"/>
            <w:noWrap/>
            <w:vAlign w:val="center"/>
            <w:hideMark/>
          </w:tcPr>
          <w:p w14:paraId="5663D080" w14:textId="77777777" w:rsidR="002B4D79" w:rsidRPr="000E59F5" w:rsidRDefault="002B4D79" w:rsidP="00F43C5C">
            <w:pPr>
              <w:spacing w:after="120"/>
              <w:jc w:val="both"/>
              <w:rPr>
                <w:bCs/>
                <w:color w:val="000000"/>
                <w:sz w:val="16"/>
                <w:szCs w:val="16"/>
              </w:rPr>
            </w:pPr>
            <w:r w:rsidRPr="000E59F5">
              <w:rPr>
                <w:bCs/>
                <w:color w:val="000000"/>
                <w:sz w:val="16"/>
                <w:szCs w:val="16"/>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4E42A454" w14:textId="77777777" w:rsidR="002B4D79" w:rsidRPr="000E59F5" w:rsidRDefault="002B4D79" w:rsidP="00F43C5C">
            <w:pPr>
              <w:spacing w:after="120"/>
              <w:jc w:val="both"/>
              <w:rPr>
                <w:bCs/>
                <w:color w:val="000000"/>
                <w:sz w:val="16"/>
                <w:szCs w:val="16"/>
              </w:rPr>
            </w:pPr>
            <w:r w:rsidRPr="000E59F5">
              <w:rPr>
                <w:bCs/>
                <w:color w:val="000000"/>
                <w:sz w:val="16"/>
                <w:szCs w:val="16"/>
              </w:rPr>
              <w:t>obec X</w:t>
            </w:r>
          </w:p>
        </w:tc>
        <w:tc>
          <w:tcPr>
            <w:tcW w:w="737" w:type="dxa"/>
            <w:tcBorders>
              <w:top w:val="nil"/>
              <w:left w:val="nil"/>
              <w:bottom w:val="single" w:sz="4" w:space="0" w:color="auto"/>
              <w:right w:val="single" w:sz="4" w:space="0" w:color="auto"/>
            </w:tcBorders>
            <w:shd w:val="clear" w:color="000000" w:fill="FFFFFF"/>
            <w:noWrap/>
            <w:vAlign w:val="center"/>
            <w:hideMark/>
          </w:tcPr>
          <w:p w14:paraId="6DA6FE95" w14:textId="77777777" w:rsidR="002B4D79" w:rsidRPr="000E59F5" w:rsidRDefault="002B4D79" w:rsidP="00F43C5C">
            <w:pPr>
              <w:spacing w:after="120"/>
              <w:jc w:val="both"/>
              <w:rPr>
                <w:bCs/>
                <w:color w:val="000000"/>
                <w:sz w:val="16"/>
                <w:szCs w:val="16"/>
              </w:rPr>
            </w:pPr>
            <w:r>
              <w:rPr>
                <w:bCs/>
                <w:color w:val="000000"/>
                <w:sz w:val="16"/>
                <w:szCs w:val="16"/>
              </w:rPr>
              <w:t>SOORP1</w:t>
            </w:r>
          </w:p>
        </w:tc>
        <w:tc>
          <w:tcPr>
            <w:tcW w:w="299" w:type="dxa"/>
            <w:tcBorders>
              <w:top w:val="nil"/>
              <w:left w:val="nil"/>
              <w:bottom w:val="single" w:sz="4" w:space="0" w:color="auto"/>
              <w:right w:val="single" w:sz="4" w:space="0" w:color="auto"/>
            </w:tcBorders>
            <w:shd w:val="clear" w:color="000000" w:fill="FFFFFF"/>
            <w:noWrap/>
            <w:vAlign w:val="center"/>
            <w:hideMark/>
          </w:tcPr>
          <w:p w14:paraId="3A8192B0" w14:textId="77777777" w:rsidR="002B4D79" w:rsidRPr="000E59F5" w:rsidRDefault="002B4D79" w:rsidP="00F43C5C">
            <w:pPr>
              <w:spacing w:after="120"/>
              <w:jc w:val="both"/>
              <w:rPr>
                <w:bCs/>
                <w:color w:val="000000"/>
                <w:sz w:val="16"/>
                <w:szCs w:val="16"/>
              </w:rPr>
            </w:pPr>
            <w:r w:rsidRPr="000E59F5">
              <w:rPr>
                <w:bCs/>
                <w:color w:val="000000"/>
                <w:sz w:val="16"/>
                <w:szCs w:val="16"/>
              </w:rPr>
              <w:t>…</w:t>
            </w:r>
          </w:p>
        </w:tc>
        <w:tc>
          <w:tcPr>
            <w:tcW w:w="770" w:type="dxa"/>
            <w:tcBorders>
              <w:top w:val="nil"/>
              <w:left w:val="nil"/>
              <w:bottom w:val="single" w:sz="4" w:space="0" w:color="auto"/>
              <w:right w:val="single" w:sz="4" w:space="0" w:color="auto"/>
            </w:tcBorders>
            <w:shd w:val="clear" w:color="000000" w:fill="FFFFFF"/>
            <w:noWrap/>
            <w:vAlign w:val="center"/>
            <w:hideMark/>
          </w:tcPr>
          <w:p w14:paraId="17E54DD2" w14:textId="77777777" w:rsidR="002B4D79" w:rsidRPr="000E59F5" w:rsidRDefault="002B4D79" w:rsidP="00F43C5C">
            <w:pPr>
              <w:spacing w:after="120"/>
              <w:jc w:val="both"/>
              <w:rPr>
                <w:bCs/>
                <w:color w:val="000000"/>
                <w:sz w:val="16"/>
                <w:szCs w:val="16"/>
              </w:rPr>
            </w:pPr>
            <w:r>
              <w:rPr>
                <w:bCs/>
                <w:color w:val="000000"/>
                <w:sz w:val="16"/>
                <w:szCs w:val="16"/>
              </w:rPr>
              <w:t>SOORPX</w:t>
            </w:r>
          </w:p>
        </w:tc>
        <w:tc>
          <w:tcPr>
            <w:tcW w:w="708" w:type="dxa"/>
            <w:tcBorders>
              <w:top w:val="nil"/>
              <w:left w:val="nil"/>
              <w:bottom w:val="single" w:sz="4" w:space="0" w:color="auto"/>
              <w:right w:val="single" w:sz="4" w:space="0" w:color="auto"/>
            </w:tcBorders>
            <w:shd w:val="clear" w:color="000000" w:fill="FFFFFF"/>
            <w:noWrap/>
            <w:vAlign w:val="center"/>
            <w:hideMark/>
          </w:tcPr>
          <w:p w14:paraId="52E729A2" w14:textId="77777777" w:rsidR="002B4D79" w:rsidRPr="000E59F5" w:rsidRDefault="002B4D79" w:rsidP="00F43C5C">
            <w:pPr>
              <w:spacing w:after="120"/>
              <w:jc w:val="both"/>
              <w:rPr>
                <w:bCs/>
                <w:color w:val="000000"/>
                <w:sz w:val="16"/>
                <w:szCs w:val="16"/>
              </w:rPr>
            </w:pPr>
            <w:r w:rsidRPr="000E59F5">
              <w:rPr>
                <w:bCs/>
                <w:color w:val="000000"/>
                <w:sz w:val="16"/>
                <w:szCs w:val="16"/>
              </w:rPr>
              <w:t>kraj1</w:t>
            </w:r>
          </w:p>
        </w:tc>
        <w:tc>
          <w:tcPr>
            <w:tcW w:w="299" w:type="dxa"/>
            <w:tcBorders>
              <w:top w:val="nil"/>
              <w:left w:val="nil"/>
              <w:bottom w:val="single" w:sz="4" w:space="0" w:color="auto"/>
              <w:right w:val="single" w:sz="4" w:space="0" w:color="auto"/>
            </w:tcBorders>
            <w:shd w:val="clear" w:color="000000" w:fill="FFFFFF"/>
            <w:noWrap/>
            <w:vAlign w:val="center"/>
            <w:hideMark/>
          </w:tcPr>
          <w:p w14:paraId="09351C79" w14:textId="77777777" w:rsidR="002B4D79" w:rsidRPr="000E59F5" w:rsidRDefault="002B4D79" w:rsidP="00F43C5C">
            <w:pPr>
              <w:spacing w:after="120"/>
              <w:jc w:val="both"/>
              <w:rPr>
                <w:bCs/>
                <w:color w:val="000000"/>
                <w:sz w:val="16"/>
                <w:szCs w:val="16"/>
              </w:rPr>
            </w:pPr>
            <w:r w:rsidRPr="000E59F5">
              <w:rPr>
                <w:bCs/>
                <w:color w:val="000000"/>
                <w:sz w:val="16"/>
                <w:szCs w:val="16"/>
              </w:rPr>
              <w:t>…</w:t>
            </w:r>
          </w:p>
        </w:tc>
        <w:tc>
          <w:tcPr>
            <w:tcW w:w="721" w:type="dxa"/>
            <w:tcBorders>
              <w:top w:val="nil"/>
              <w:left w:val="nil"/>
              <w:bottom w:val="single" w:sz="4" w:space="0" w:color="auto"/>
              <w:right w:val="single" w:sz="4" w:space="0" w:color="auto"/>
            </w:tcBorders>
            <w:shd w:val="clear" w:color="000000" w:fill="FFFFFF"/>
            <w:noWrap/>
            <w:vAlign w:val="center"/>
            <w:hideMark/>
          </w:tcPr>
          <w:p w14:paraId="559201A8" w14:textId="77777777" w:rsidR="002B4D79" w:rsidRPr="000E59F5" w:rsidRDefault="002B4D79" w:rsidP="00F43C5C">
            <w:pPr>
              <w:spacing w:after="120"/>
              <w:jc w:val="both"/>
              <w:rPr>
                <w:bCs/>
                <w:color w:val="000000"/>
                <w:sz w:val="16"/>
                <w:szCs w:val="16"/>
              </w:rPr>
            </w:pPr>
            <w:proofErr w:type="spellStart"/>
            <w:r w:rsidRPr="000E59F5">
              <w:rPr>
                <w:bCs/>
                <w:color w:val="000000"/>
                <w:sz w:val="16"/>
                <w:szCs w:val="16"/>
              </w:rPr>
              <w:t>krajX</w:t>
            </w:r>
            <w:proofErr w:type="spellEnd"/>
          </w:p>
        </w:tc>
      </w:tr>
      <w:tr w:rsidR="002B4D79" w:rsidRPr="000E59F5" w14:paraId="79103280" w14:textId="77777777" w:rsidTr="002B4D79">
        <w:trPr>
          <w:trHeight w:val="256"/>
        </w:trPr>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82ADDB2" w14:textId="77777777" w:rsidR="002B4D79" w:rsidRPr="000E59F5" w:rsidRDefault="002B4D79" w:rsidP="00F43C5C">
            <w:pPr>
              <w:spacing w:after="120"/>
              <w:jc w:val="both"/>
              <w:rPr>
                <w:bCs/>
                <w:color w:val="000000"/>
                <w:sz w:val="16"/>
                <w:szCs w:val="16"/>
              </w:rPr>
            </w:pPr>
            <w:r w:rsidRPr="000E59F5">
              <w:rPr>
                <w:bCs/>
                <w:color w:val="000000"/>
                <w:sz w:val="16"/>
                <w:szCs w:val="16"/>
              </w:rPr>
              <w:t>zdroj Brno</w:t>
            </w:r>
          </w:p>
        </w:tc>
        <w:tc>
          <w:tcPr>
            <w:tcW w:w="798" w:type="dxa"/>
            <w:tcBorders>
              <w:top w:val="nil"/>
              <w:left w:val="nil"/>
              <w:bottom w:val="single" w:sz="4" w:space="0" w:color="auto"/>
              <w:right w:val="single" w:sz="4" w:space="0" w:color="auto"/>
            </w:tcBorders>
            <w:shd w:val="clear" w:color="000000" w:fill="FFFFFF"/>
            <w:noWrap/>
            <w:vAlign w:val="center"/>
            <w:hideMark/>
          </w:tcPr>
          <w:p w14:paraId="7F87EB5F" w14:textId="77777777" w:rsidR="002B4D79" w:rsidRPr="000E59F5" w:rsidRDefault="002B4D79" w:rsidP="00F43C5C">
            <w:pPr>
              <w:spacing w:after="120"/>
              <w:jc w:val="both"/>
              <w:rPr>
                <w:bCs/>
                <w:color w:val="000000"/>
                <w:sz w:val="16"/>
                <w:szCs w:val="16"/>
              </w:rPr>
            </w:pPr>
            <w:r w:rsidRPr="000E59F5">
              <w:rPr>
                <w:bCs/>
                <w:color w:val="000000"/>
                <w:sz w:val="16"/>
                <w:szCs w:val="16"/>
              </w:rPr>
              <w:t>ku1</w:t>
            </w:r>
          </w:p>
        </w:tc>
        <w:tc>
          <w:tcPr>
            <w:tcW w:w="529" w:type="dxa"/>
            <w:tcBorders>
              <w:top w:val="nil"/>
              <w:left w:val="nil"/>
              <w:bottom w:val="single" w:sz="4" w:space="0" w:color="auto"/>
              <w:right w:val="single" w:sz="4" w:space="0" w:color="auto"/>
            </w:tcBorders>
            <w:shd w:val="clear" w:color="000000" w:fill="FFFFFF"/>
            <w:noWrap/>
            <w:vAlign w:val="center"/>
            <w:hideMark/>
          </w:tcPr>
          <w:p w14:paraId="1C5DA96E"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03995A3"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4C2E5C4A"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14:paraId="29976710"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3059A508"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46" w:type="dxa"/>
            <w:tcBorders>
              <w:top w:val="nil"/>
              <w:left w:val="nil"/>
              <w:bottom w:val="single" w:sz="4" w:space="0" w:color="auto"/>
              <w:right w:val="single" w:sz="4" w:space="0" w:color="auto"/>
            </w:tcBorders>
            <w:shd w:val="clear" w:color="000000" w:fill="FFFFFF"/>
            <w:noWrap/>
            <w:vAlign w:val="center"/>
            <w:hideMark/>
          </w:tcPr>
          <w:p w14:paraId="7A1D0409"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4630CF32"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598989CE"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0C78791C"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4CACF6A"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7383B75F"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1F1EBB9D"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r>
      <w:tr w:rsidR="002B4D79" w:rsidRPr="000E59F5" w14:paraId="7E819426" w14:textId="77777777" w:rsidTr="002B4D79">
        <w:trPr>
          <w:trHeight w:val="256"/>
        </w:trPr>
        <w:tc>
          <w:tcPr>
            <w:tcW w:w="1318" w:type="dxa"/>
            <w:vMerge/>
            <w:tcBorders>
              <w:top w:val="nil"/>
              <w:left w:val="single" w:sz="4" w:space="0" w:color="auto"/>
              <w:bottom w:val="single" w:sz="4" w:space="0" w:color="auto"/>
              <w:right w:val="single" w:sz="4" w:space="0" w:color="auto"/>
            </w:tcBorders>
            <w:vAlign w:val="center"/>
            <w:hideMark/>
          </w:tcPr>
          <w:p w14:paraId="7D6E48BD" w14:textId="77777777" w:rsidR="002B4D79" w:rsidRPr="000E59F5" w:rsidRDefault="002B4D79" w:rsidP="00F43C5C">
            <w:pPr>
              <w:spacing w:after="120"/>
              <w:jc w:val="both"/>
              <w:rPr>
                <w:bCs/>
                <w:color w:val="000000"/>
                <w:sz w:val="16"/>
                <w:szCs w:val="16"/>
              </w:rPr>
            </w:pPr>
          </w:p>
        </w:tc>
        <w:tc>
          <w:tcPr>
            <w:tcW w:w="798" w:type="dxa"/>
            <w:tcBorders>
              <w:top w:val="nil"/>
              <w:left w:val="nil"/>
              <w:bottom w:val="single" w:sz="4" w:space="0" w:color="auto"/>
              <w:right w:val="single" w:sz="4" w:space="0" w:color="auto"/>
            </w:tcBorders>
            <w:shd w:val="clear" w:color="000000" w:fill="FFFFFF"/>
            <w:noWrap/>
            <w:vAlign w:val="center"/>
            <w:hideMark/>
          </w:tcPr>
          <w:p w14:paraId="0AE97EC3" w14:textId="77777777" w:rsidR="002B4D79" w:rsidRPr="000E59F5" w:rsidRDefault="002B4D79" w:rsidP="00F43C5C">
            <w:pPr>
              <w:spacing w:after="120"/>
              <w:jc w:val="both"/>
              <w:rPr>
                <w:bCs/>
                <w:color w:val="000000"/>
                <w:sz w:val="16"/>
                <w:szCs w:val="16"/>
              </w:rPr>
            </w:pPr>
            <w:r w:rsidRPr="000E59F5">
              <w:rPr>
                <w:bCs/>
                <w:color w:val="000000"/>
                <w:sz w:val="16"/>
                <w:szCs w:val="16"/>
              </w:rPr>
              <w:t>…</w:t>
            </w:r>
          </w:p>
        </w:tc>
        <w:tc>
          <w:tcPr>
            <w:tcW w:w="529" w:type="dxa"/>
            <w:tcBorders>
              <w:top w:val="nil"/>
              <w:left w:val="nil"/>
              <w:bottom w:val="single" w:sz="4" w:space="0" w:color="auto"/>
              <w:right w:val="single" w:sz="4" w:space="0" w:color="auto"/>
            </w:tcBorders>
            <w:shd w:val="clear" w:color="000000" w:fill="FFFFFF"/>
            <w:noWrap/>
            <w:vAlign w:val="center"/>
            <w:hideMark/>
          </w:tcPr>
          <w:p w14:paraId="3AB0BB4F"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90E8F95"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2EA6FE5A"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14:paraId="57789783"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48596E1B"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46" w:type="dxa"/>
            <w:tcBorders>
              <w:top w:val="nil"/>
              <w:left w:val="nil"/>
              <w:bottom w:val="single" w:sz="4" w:space="0" w:color="auto"/>
              <w:right w:val="single" w:sz="4" w:space="0" w:color="auto"/>
            </w:tcBorders>
            <w:shd w:val="clear" w:color="000000" w:fill="FFFFFF"/>
            <w:noWrap/>
            <w:vAlign w:val="center"/>
            <w:hideMark/>
          </w:tcPr>
          <w:p w14:paraId="29E1E2C4"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59C554B0"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024EDBD4"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2653F91B"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E885746"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4F8920CC"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5ABC226D"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r>
      <w:tr w:rsidR="002B4D79" w:rsidRPr="000E59F5" w14:paraId="47D0EF15" w14:textId="77777777" w:rsidTr="002B4D79">
        <w:trPr>
          <w:trHeight w:val="256"/>
        </w:trPr>
        <w:tc>
          <w:tcPr>
            <w:tcW w:w="1318" w:type="dxa"/>
            <w:vMerge/>
            <w:tcBorders>
              <w:top w:val="nil"/>
              <w:left w:val="single" w:sz="4" w:space="0" w:color="auto"/>
              <w:bottom w:val="single" w:sz="4" w:space="0" w:color="auto"/>
              <w:right w:val="single" w:sz="4" w:space="0" w:color="auto"/>
            </w:tcBorders>
            <w:vAlign w:val="center"/>
            <w:hideMark/>
          </w:tcPr>
          <w:p w14:paraId="4C1D6CDE" w14:textId="77777777" w:rsidR="002B4D79" w:rsidRPr="000E59F5" w:rsidRDefault="002B4D79" w:rsidP="00F43C5C">
            <w:pPr>
              <w:spacing w:after="120"/>
              <w:jc w:val="both"/>
              <w:rPr>
                <w:bCs/>
                <w:color w:val="000000"/>
                <w:sz w:val="16"/>
                <w:szCs w:val="16"/>
              </w:rPr>
            </w:pPr>
          </w:p>
        </w:tc>
        <w:tc>
          <w:tcPr>
            <w:tcW w:w="798" w:type="dxa"/>
            <w:tcBorders>
              <w:top w:val="nil"/>
              <w:left w:val="nil"/>
              <w:bottom w:val="single" w:sz="4" w:space="0" w:color="auto"/>
              <w:right w:val="single" w:sz="4" w:space="0" w:color="auto"/>
            </w:tcBorders>
            <w:shd w:val="clear" w:color="000000" w:fill="FFFFFF"/>
            <w:noWrap/>
            <w:vAlign w:val="center"/>
            <w:hideMark/>
          </w:tcPr>
          <w:p w14:paraId="1FE64C41" w14:textId="77777777" w:rsidR="002B4D79" w:rsidRPr="000E59F5" w:rsidRDefault="002B4D79" w:rsidP="00F43C5C">
            <w:pPr>
              <w:spacing w:after="120"/>
              <w:jc w:val="both"/>
              <w:rPr>
                <w:bCs/>
                <w:color w:val="000000"/>
                <w:sz w:val="16"/>
                <w:szCs w:val="16"/>
              </w:rPr>
            </w:pPr>
            <w:r w:rsidRPr="000E59F5">
              <w:rPr>
                <w:bCs/>
                <w:color w:val="000000"/>
                <w:sz w:val="16"/>
                <w:szCs w:val="16"/>
              </w:rPr>
              <w:t>ku48</w:t>
            </w:r>
          </w:p>
        </w:tc>
        <w:tc>
          <w:tcPr>
            <w:tcW w:w="529" w:type="dxa"/>
            <w:tcBorders>
              <w:top w:val="nil"/>
              <w:left w:val="nil"/>
              <w:bottom w:val="single" w:sz="4" w:space="0" w:color="auto"/>
              <w:right w:val="single" w:sz="4" w:space="0" w:color="auto"/>
            </w:tcBorders>
            <w:shd w:val="clear" w:color="000000" w:fill="FFFFFF"/>
            <w:noWrap/>
            <w:vAlign w:val="center"/>
            <w:hideMark/>
          </w:tcPr>
          <w:p w14:paraId="610817A7"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E804ACC"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6AC22183"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14:paraId="348CA1A4"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1221DE82"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46" w:type="dxa"/>
            <w:tcBorders>
              <w:top w:val="nil"/>
              <w:left w:val="nil"/>
              <w:bottom w:val="single" w:sz="4" w:space="0" w:color="auto"/>
              <w:right w:val="single" w:sz="4" w:space="0" w:color="auto"/>
            </w:tcBorders>
            <w:shd w:val="clear" w:color="000000" w:fill="FFFFFF"/>
            <w:noWrap/>
            <w:vAlign w:val="center"/>
            <w:hideMark/>
          </w:tcPr>
          <w:p w14:paraId="3861D11B"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1B9FD546"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5DC59773"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004FF963"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71EFFF1"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1B4D8424"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7D314C8"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r>
      <w:tr w:rsidR="002B4D79" w:rsidRPr="000E59F5" w14:paraId="2052E946" w14:textId="77777777" w:rsidTr="002B4D79">
        <w:trPr>
          <w:trHeight w:val="256"/>
        </w:trPr>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570DBD6" w14:textId="77777777" w:rsidR="002B4D79" w:rsidRPr="000E59F5" w:rsidRDefault="002B4D79" w:rsidP="00F43C5C">
            <w:pPr>
              <w:spacing w:after="120"/>
              <w:jc w:val="both"/>
              <w:rPr>
                <w:bCs/>
                <w:color w:val="000000"/>
                <w:sz w:val="16"/>
                <w:szCs w:val="16"/>
              </w:rPr>
            </w:pPr>
            <w:r w:rsidRPr="000E59F5">
              <w:rPr>
                <w:bCs/>
                <w:color w:val="000000"/>
                <w:sz w:val="16"/>
                <w:szCs w:val="16"/>
              </w:rPr>
              <w:t>zdroj Brno-Venkov</w:t>
            </w:r>
          </w:p>
        </w:tc>
        <w:tc>
          <w:tcPr>
            <w:tcW w:w="798" w:type="dxa"/>
            <w:tcBorders>
              <w:top w:val="nil"/>
              <w:left w:val="nil"/>
              <w:bottom w:val="single" w:sz="4" w:space="0" w:color="auto"/>
              <w:right w:val="single" w:sz="4" w:space="0" w:color="auto"/>
            </w:tcBorders>
            <w:shd w:val="clear" w:color="000000" w:fill="FFFFFF"/>
            <w:noWrap/>
            <w:vAlign w:val="center"/>
            <w:hideMark/>
          </w:tcPr>
          <w:p w14:paraId="45AE671A" w14:textId="77777777" w:rsidR="002B4D79" w:rsidRPr="000E59F5" w:rsidRDefault="002B4D79" w:rsidP="00F43C5C">
            <w:pPr>
              <w:spacing w:after="120"/>
              <w:jc w:val="both"/>
              <w:rPr>
                <w:bCs/>
                <w:color w:val="000000"/>
                <w:sz w:val="16"/>
                <w:szCs w:val="16"/>
              </w:rPr>
            </w:pPr>
            <w:r w:rsidRPr="000E59F5">
              <w:rPr>
                <w:bCs/>
                <w:color w:val="000000"/>
                <w:sz w:val="16"/>
                <w:szCs w:val="16"/>
              </w:rPr>
              <w:t>obec1</w:t>
            </w:r>
          </w:p>
        </w:tc>
        <w:tc>
          <w:tcPr>
            <w:tcW w:w="529" w:type="dxa"/>
            <w:tcBorders>
              <w:top w:val="nil"/>
              <w:left w:val="nil"/>
              <w:bottom w:val="single" w:sz="4" w:space="0" w:color="auto"/>
              <w:right w:val="single" w:sz="4" w:space="0" w:color="auto"/>
            </w:tcBorders>
            <w:shd w:val="clear" w:color="000000" w:fill="FFFFFF"/>
            <w:noWrap/>
            <w:vAlign w:val="center"/>
            <w:hideMark/>
          </w:tcPr>
          <w:p w14:paraId="4EB6196D"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AFA414A"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2DA793CB"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5315"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D9968" w14:textId="77777777" w:rsidR="002B4D79" w:rsidRPr="000E59F5" w:rsidRDefault="002B4D79" w:rsidP="00F43C5C">
            <w:pPr>
              <w:spacing w:after="120"/>
              <w:jc w:val="both"/>
              <w:rPr>
                <w:bCs/>
                <w:color w:val="000000"/>
                <w:sz w:val="16"/>
                <w:szCs w:val="16"/>
              </w:rPr>
            </w:pPr>
            <w:r w:rsidRPr="000E59F5">
              <w:rPr>
                <w:bCs/>
                <w:color w:val="000000"/>
                <w:sz w:val="16"/>
                <w:szCs w:val="16"/>
              </w:rPr>
              <w:t xml:space="preserve">není </w:t>
            </w:r>
            <w:r>
              <w:rPr>
                <w:bCs/>
                <w:color w:val="000000"/>
                <w:sz w:val="16"/>
                <w:szCs w:val="16"/>
              </w:rPr>
              <w:t>poptáváno</w:t>
            </w:r>
          </w:p>
        </w:tc>
      </w:tr>
      <w:tr w:rsidR="002B4D79" w:rsidRPr="000E59F5" w14:paraId="60531284" w14:textId="77777777" w:rsidTr="002B4D79">
        <w:trPr>
          <w:trHeight w:val="256"/>
        </w:trPr>
        <w:tc>
          <w:tcPr>
            <w:tcW w:w="1318" w:type="dxa"/>
            <w:vMerge/>
            <w:tcBorders>
              <w:top w:val="nil"/>
              <w:left w:val="single" w:sz="4" w:space="0" w:color="auto"/>
              <w:bottom w:val="single" w:sz="4" w:space="0" w:color="auto"/>
              <w:right w:val="single" w:sz="4" w:space="0" w:color="auto"/>
            </w:tcBorders>
            <w:vAlign w:val="center"/>
            <w:hideMark/>
          </w:tcPr>
          <w:p w14:paraId="27CBE8A4" w14:textId="77777777" w:rsidR="002B4D79" w:rsidRPr="000E59F5" w:rsidRDefault="002B4D79" w:rsidP="00F43C5C">
            <w:pPr>
              <w:spacing w:after="120"/>
              <w:jc w:val="both"/>
              <w:rPr>
                <w:bCs/>
                <w:color w:val="000000"/>
                <w:sz w:val="16"/>
                <w:szCs w:val="16"/>
              </w:rPr>
            </w:pPr>
          </w:p>
        </w:tc>
        <w:tc>
          <w:tcPr>
            <w:tcW w:w="798" w:type="dxa"/>
            <w:tcBorders>
              <w:top w:val="nil"/>
              <w:left w:val="nil"/>
              <w:bottom w:val="single" w:sz="4" w:space="0" w:color="auto"/>
              <w:right w:val="single" w:sz="4" w:space="0" w:color="auto"/>
            </w:tcBorders>
            <w:shd w:val="clear" w:color="000000" w:fill="FFFFFF"/>
            <w:noWrap/>
            <w:vAlign w:val="center"/>
            <w:hideMark/>
          </w:tcPr>
          <w:p w14:paraId="54A8969F" w14:textId="77777777" w:rsidR="002B4D79" w:rsidRPr="000E59F5" w:rsidRDefault="002B4D79" w:rsidP="00F43C5C">
            <w:pPr>
              <w:spacing w:after="120"/>
              <w:jc w:val="both"/>
              <w:rPr>
                <w:bCs/>
                <w:color w:val="000000"/>
                <w:sz w:val="16"/>
                <w:szCs w:val="16"/>
              </w:rPr>
            </w:pPr>
            <w:r w:rsidRPr="000E59F5">
              <w:rPr>
                <w:bCs/>
                <w:color w:val="000000"/>
                <w:sz w:val="16"/>
                <w:szCs w:val="16"/>
              </w:rPr>
              <w:t>…</w:t>
            </w:r>
          </w:p>
        </w:tc>
        <w:tc>
          <w:tcPr>
            <w:tcW w:w="529" w:type="dxa"/>
            <w:tcBorders>
              <w:top w:val="nil"/>
              <w:left w:val="nil"/>
              <w:bottom w:val="single" w:sz="4" w:space="0" w:color="auto"/>
              <w:right w:val="single" w:sz="4" w:space="0" w:color="auto"/>
            </w:tcBorders>
            <w:shd w:val="clear" w:color="000000" w:fill="FFFFFF"/>
            <w:noWrap/>
            <w:vAlign w:val="center"/>
            <w:hideMark/>
          </w:tcPr>
          <w:p w14:paraId="62A730B2"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303FBD3"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0AE09B5B"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5315" w:type="dxa"/>
            <w:gridSpan w:val="9"/>
            <w:vMerge/>
            <w:tcBorders>
              <w:top w:val="nil"/>
              <w:left w:val="nil"/>
              <w:bottom w:val="single" w:sz="4" w:space="0" w:color="auto"/>
              <w:right w:val="single" w:sz="4" w:space="0" w:color="auto"/>
            </w:tcBorders>
            <w:vAlign w:val="center"/>
            <w:hideMark/>
          </w:tcPr>
          <w:p w14:paraId="65B4B365" w14:textId="77777777" w:rsidR="002B4D79" w:rsidRPr="000E59F5" w:rsidRDefault="002B4D79" w:rsidP="00F43C5C">
            <w:pPr>
              <w:spacing w:after="120"/>
              <w:jc w:val="both"/>
              <w:rPr>
                <w:bCs/>
                <w:color w:val="000000"/>
                <w:sz w:val="16"/>
                <w:szCs w:val="16"/>
              </w:rPr>
            </w:pPr>
          </w:p>
        </w:tc>
      </w:tr>
      <w:tr w:rsidR="002B4D79" w:rsidRPr="000E59F5" w14:paraId="15B65FB4" w14:textId="77777777" w:rsidTr="002B4D79">
        <w:trPr>
          <w:trHeight w:val="256"/>
        </w:trPr>
        <w:tc>
          <w:tcPr>
            <w:tcW w:w="1318" w:type="dxa"/>
            <w:vMerge/>
            <w:tcBorders>
              <w:top w:val="nil"/>
              <w:left w:val="single" w:sz="4" w:space="0" w:color="auto"/>
              <w:bottom w:val="single" w:sz="4" w:space="0" w:color="auto"/>
              <w:right w:val="single" w:sz="4" w:space="0" w:color="auto"/>
            </w:tcBorders>
            <w:vAlign w:val="center"/>
            <w:hideMark/>
          </w:tcPr>
          <w:p w14:paraId="6DFA3036" w14:textId="77777777" w:rsidR="002B4D79" w:rsidRPr="000E59F5" w:rsidRDefault="002B4D79" w:rsidP="00F43C5C">
            <w:pPr>
              <w:spacing w:after="120"/>
              <w:jc w:val="both"/>
              <w:rPr>
                <w:bCs/>
                <w:color w:val="000000"/>
                <w:sz w:val="16"/>
                <w:szCs w:val="16"/>
              </w:rPr>
            </w:pPr>
          </w:p>
        </w:tc>
        <w:tc>
          <w:tcPr>
            <w:tcW w:w="798" w:type="dxa"/>
            <w:tcBorders>
              <w:top w:val="nil"/>
              <w:left w:val="nil"/>
              <w:bottom w:val="single" w:sz="4" w:space="0" w:color="auto"/>
              <w:right w:val="single" w:sz="4" w:space="0" w:color="auto"/>
            </w:tcBorders>
            <w:shd w:val="clear" w:color="000000" w:fill="FFFFFF"/>
            <w:noWrap/>
            <w:vAlign w:val="center"/>
            <w:hideMark/>
          </w:tcPr>
          <w:p w14:paraId="321874CA" w14:textId="77777777" w:rsidR="002B4D79" w:rsidRPr="000E59F5" w:rsidRDefault="002B4D79" w:rsidP="00F43C5C">
            <w:pPr>
              <w:spacing w:after="120"/>
              <w:jc w:val="both"/>
              <w:rPr>
                <w:bCs/>
                <w:color w:val="000000"/>
                <w:sz w:val="16"/>
                <w:szCs w:val="16"/>
              </w:rPr>
            </w:pPr>
            <w:proofErr w:type="spellStart"/>
            <w:r w:rsidRPr="000E59F5">
              <w:rPr>
                <w:bCs/>
                <w:color w:val="000000"/>
                <w:sz w:val="16"/>
                <w:szCs w:val="16"/>
              </w:rPr>
              <w:t>obecX</w:t>
            </w:r>
            <w:proofErr w:type="spellEnd"/>
          </w:p>
        </w:tc>
        <w:tc>
          <w:tcPr>
            <w:tcW w:w="529" w:type="dxa"/>
            <w:tcBorders>
              <w:top w:val="nil"/>
              <w:left w:val="nil"/>
              <w:bottom w:val="single" w:sz="4" w:space="0" w:color="auto"/>
              <w:right w:val="single" w:sz="4" w:space="0" w:color="auto"/>
            </w:tcBorders>
            <w:shd w:val="clear" w:color="000000" w:fill="FFFFFF"/>
            <w:noWrap/>
            <w:vAlign w:val="center"/>
            <w:hideMark/>
          </w:tcPr>
          <w:p w14:paraId="6F4535E2"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D310A66"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6D68C916"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5315" w:type="dxa"/>
            <w:gridSpan w:val="9"/>
            <w:vMerge/>
            <w:tcBorders>
              <w:top w:val="nil"/>
              <w:left w:val="nil"/>
              <w:bottom w:val="single" w:sz="4" w:space="0" w:color="auto"/>
              <w:right w:val="single" w:sz="4" w:space="0" w:color="auto"/>
            </w:tcBorders>
            <w:vAlign w:val="center"/>
            <w:hideMark/>
          </w:tcPr>
          <w:p w14:paraId="67F74F9E" w14:textId="77777777" w:rsidR="002B4D79" w:rsidRPr="000E59F5" w:rsidRDefault="002B4D79" w:rsidP="00F43C5C">
            <w:pPr>
              <w:spacing w:after="120"/>
              <w:jc w:val="both"/>
              <w:rPr>
                <w:bCs/>
                <w:color w:val="000000"/>
                <w:sz w:val="16"/>
                <w:szCs w:val="16"/>
              </w:rPr>
            </w:pPr>
          </w:p>
        </w:tc>
      </w:tr>
      <w:tr w:rsidR="002B4D79" w:rsidRPr="000E59F5" w14:paraId="4A3FEEDA" w14:textId="77777777" w:rsidTr="002B4D79">
        <w:trPr>
          <w:trHeight w:val="256"/>
        </w:trPr>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082472C" w14:textId="77777777" w:rsidR="002B4D79" w:rsidRPr="000E59F5" w:rsidRDefault="002B4D79" w:rsidP="00F43C5C">
            <w:pPr>
              <w:spacing w:after="120"/>
              <w:jc w:val="both"/>
              <w:rPr>
                <w:bCs/>
                <w:color w:val="000000"/>
                <w:sz w:val="16"/>
                <w:szCs w:val="16"/>
              </w:rPr>
            </w:pPr>
            <w:r w:rsidRPr="000E59F5">
              <w:rPr>
                <w:bCs/>
                <w:color w:val="000000"/>
                <w:sz w:val="16"/>
                <w:szCs w:val="16"/>
              </w:rPr>
              <w:t>zdroj Jihomoravský kraj</w:t>
            </w:r>
          </w:p>
        </w:tc>
        <w:tc>
          <w:tcPr>
            <w:tcW w:w="798" w:type="dxa"/>
            <w:tcBorders>
              <w:top w:val="nil"/>
              <w:left w:val="nil"/>
              <w:bottom w:val="single" w:sz="4" w:space="0" w:color="auto"/>
              <w:right w:val="single" w:sz="4" w:space="0" w:color="auto"/>
            </w:tcBorders>
            <w:shd w:val="clear" w:color="000000" w:fill="FFFFFF"/>
            <w:noWrap/>
            <w:vAlign w:val="center"/>
            <w:hideMark/>
          </w:tcPr>
          <w:p w14:paraId="70F12119" w14:textId="77777777" w:rsidR="002B4D79" w:rsidRPr="000E59F5" w:rsidRDefault="002B4D79" w:rsidP="00F43C5C">
            <w:pPr>
              <w:spacing w:after="120"/>
              <w:jc w:val="both"/>
              <w:rPr>
                <w:bCs/>
                <w:color w:val="000000"/>
                <w:sz w:val="16"/>
                <w:szCs w:val="16"/>
              </w:rPr>
            </w:pPr>
            <w:r>
              <w:rPr>
                <w:bCs/>
                <w:color w:val="000000"/>
                <w:sz w:val="16"/>
                <w:szCs w:val="16"/>
              </w:rPr>
              <w:t>SOORP1</w:t>
            </w:r>
          </w:p>
        </w:tc>
        <w:tc>
          <w:tcPr>
            <w:tcW w:w="529" w:type="dxa"/>
            <w:tcBorders>
              <w:top w:val="nil"/>
              <w:left w:val="nil"/>
              <w:bottom w:val="single" w:sz="4" w:space="0" w:color="auto"/>
              <w:right w:val="single" w:sz="4" w:space="0" w:color="auto"/>
            </w:tcBorders>
            <w:shd w:val="clear" w:color="000000" w:fill="FFFFFF"/>
            <w:noWrap/>
            <w:vAlign w:val="center"/>
            <w:hideMark/>
          </w:tcPr>
          <w:p w14:paraId="6D8FAC2C"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BCD09FF"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440558C6"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5315" w:type="dxa"/>
            <w:gridSpan w:val="9"/>
            <w:vMerge/>
            <w:tcBorders>
              <w:top w:val="nil"/>
              <w:left w:val="nil"/>
              <w:bottom w:val="single" w:sz="4" w:space="0" w:color="auto"/>
              <w:right w:val="single" w:sz="4" w:space="0" w:color="auto"/>
            </w:tcBorders>
            <w:vAlign w:val="center"/>
            <w:hideMark/>
          </w:tcPr>
          <w:p w14:paraId="1C2B754E" w14:textId="77777777" w:rsidR="002B4D79" w:rsidRPr="000E59F5" w:rsidRDefault="002B4D79" w:rsidP="00F43C5C">
            <w:pPr>
              <w:spacing w:after="120"/>
              <w:jc w:val="both"/>
              <w:rPr>
                <w:bCs/>
                <w:color w:val="000000"/>
                <w:sz w:val="16"/>
                <w:szCs w:val="16"/>
              </w:rPr>
            </w:pPr>
          </w:p>
        </w:tc>
      </w:tr>
      <w:tr w:rsidR="002B4D79" w:rsidRPr="000E59F5" w14:paraId="2AFEA62A" w14:textId="77777777" w:rsidTr="002B4D79">
        <w:trPr>
          <w:trHeight w:val="256"/>
        </w:trPr>
        <w:tc>
          <w:tcPr>
            <w:tcW w:w="1318" w:type="dxa"/>
            <w:vMerge/>
            <w:tcBorders>
              <w:top w:val="nil"/>
              <w:left w:val="single" w:sz="4" w:space="0" w:color="auto"/>
              <w:bottom w:val="single" w:sz="4" w:space="0" w:color="auto"/>
              <w:right w:val="single" w:sz="4" w:space="0" w:color="auto"/>
            </w:tcBorders>
            <w:vAlign w:val="center"/>
            <w:hideMark/>
          </w:tcPr>
          <w:p w14:paraId="11BAFFE8" w14:textId="77777777" w:rsidR="002B4D79" w:rsidRPr="000E59F5" w:rsidRDefault="002B4D79" w:rsidP="00F43C5C">
            <w:pPr>
              <w:spacing w:after="120"/>
              <w:jc w:val="both"/>
              <w:rPr>
                <w:bCs/>
                <w:color w:val="000000"/>
                <w:sz w:val="16"/>
                <w:szCs w:val="16"/>
              </w:rPr>
            </w:pPr>
          </w:p>
        </w:tc>
        <w:tc>
          <w:tcPr>
            <w:tcW w:w="798" w:type="dxa"/>
            <w:tcBorders>
              <w:top w:val="nil"/>
              <w:left w:val="nil"/>
              <w:bottom w:val="single" w:sz="4" w:space="0" w:color="auto"/>
              <w:right w:val="single" w:sz="4" w:space="0" w:color="auto"/>
            </w:tcBorders>
            <w:shd w:val="clear" w:color="000000" w:fill="FFFFFF"/>
            <w:noWrap/>
            <w:vAlign w:val="center"/>
            <w:hideMark/>
          </w:tcPr>
          <w:p w14:paraId="4DF83189" w14:textId="77777777" w:rsidR="002B4D79" w:rsidRPr="000E59F5" w:rsidRDefault="002B4D79" w:rsidP="00F43C5C">
            <w:pPr>
              <w:spacing w:after="120"/>
              <w:jc w:val="both"/>
              <w:rPr>
                <w:bCs/>
                <w:color w:val="000000"/>
                <w:sz w:val="16"/>
                <w:szCs w:val="16"/>
              </w:rPr>
            </w:pPr>
            <w:r w:rsidRPr="000E59F5">
              <w:rPr>
                <w:bCs/>
                <w:color w:val="000000"/>
                <w:sz w:val="16"/>
                <w:szCs w:val="16"/>
              </w:rPr>
              <w:t>…</w:t>
            </w:r>
          </w:p>
        </w:tc>
        <w:tc>
          <w:tcPr>
            <w:tcW w:w="529" w:type="dxa"/>
            <w:tcBorders>
              <w:top w:val="nil"/>
              <w:left w:val="nil"/>
              <w:bottom w:val="single" w:sz="4" w:space="0" w:color="auto"/>
              <w:right w:val="single" w:sz="4" w:space="0" w:color="auto"/>
            </w:tcBorders>
            <w:shd w:val="clear" w:color="000000" w:fill="FFFFFF"/>
            <w:noWrap/>
            <w:vAlign w:val="center"/>
            <w:hideMark/>
          </w:tcPr>
          <w:p w14:paraId="45912ED5"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6DBE87F4"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41728F08"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5315" w:type="dxa"/>
            <w:gridSpan w:val="9"/>
            <w:vMerge/>
            <w:tcBorders>
              <w:top w:val="nil"/>
              <w:left w:val="nil"/>
              <w:bottom w:val="single" w:sz="4" w:space="0" w:color="auto"/>
              <w:right w:val="single" w:sz="4" w:space="0" w:color="auto"/>
            </w:tcBorders>
            <w:vAlign w:val="center"/>
            <w:hideMark/>
          </w:tcPr>
          <w:p w14:paraId="62E5F541" w14:textId="77777777" w:rsidR="002B4D79" w:rsidRPr="000E59F5" w:rsidRDefault="002B4D79" w:rsidP="00F43C5C">
            <w:pPr>
              <w:spacing w:after="120"/>
              <w:jc w:val="both"/>
              <w:rPr>
                <w:bCs/>
                <w:color w:val="000000"/>
                <w:sz w:val="16"/>
                <w:szCs w:val="16"/>
              </w:rPr>
            </w:pPr>
          </w:p>
        </w:tc>
      </w:tr>
      <w:tr w:rsidR="002B4D79" w:rsidRPr="000E59F5" w14:paraId="681317D9" w14:textId="77777777" w:rsidTr="002B4D79">
        <w:trPr>
          <w:trHeight w:val="256"/>
        </w:trPr>
        <w:tc>
          <w:tcPr>
            <w:tcW w:w="1318" w:type="dxa"/>
            <w:vMerge/>
            <w:tcBorders>
              <w:top w:val="nil"/>
              <w:left w:val="single" w:sz="4" w:space="0" w:color="auto"/>
              <w:bottom w:val="single" w:sz="4" w:space="0" w:color="auto"/>
              <w:right w:val="single" w:sz="4" w:space="0" w:color="auto"/>
            </w:tcBorders>
            <w:vAlign w:val="center"/>
            <w:hideMark/>
          </w:tcPr>
          <w:p w14:paraId="06397426" w14:textId="77777777" w:rsidR="002B4D79" w:rsidRPr="000E59F5" w:rsidRDefault="002B4D79" w:rsidP="00F43C5C">
            <w:pPr>
              <w:spacing w:after="120"/>
              <w:jc w:val="both"/>
              <w:rPr>
                <w:bCs/>
                <w:color w:val="000000"/>
                <w:sz w:val="16"/>
                <w:szCs w:val="16"/>
              </w:rPr>
            </w:pPr>
          </w:p>
        </w:tc>
        <w:tc>
          <w:tcPr>
            <w:tcW w:w="798" w:type="dxa"/>
            <w:tcBorders>
              <w:top w:val="nil"/>
              <w:left w:val="nil"/>
              <w:bottom w:val="single" w:sz="4" w:space="0" w:color="auto"/>
              <w:right w:val="single" w:sz="4" w:space="0" w:color="auto"/>
            </w:tcBorders>
            <w:shd w:val="clear" w:color="000000" w:fill="FFFFFF"/>
            <w:noWrap/>
            <w:vAlign w:val="center"/>
            <w:hideMark/>
          </w:tcPr>
          <w:p w14:paraId="652995F1" w14:textId="77777777" w:rsidR="002B4D79" w:rsidRPr="000E59F5" w:rsidRDefault="002B4D79" w:rsidP="00F43C5C">
            <w:pPr>
              <w:spacing w:after="120"/>
              <w:jc w:val="both"/>
              <w:rPr>
                <w:bCs/>
                <w:color w:val="000000"/>
                <w:sz w:val="16"/>
                <w:szCs w:val="16"/>
              </w:rPr>
            </w:pPr>
            <w:r>
              <w:rPr>
                <w:bCs/>
                <w:color w:val="000000"/>
                <w:sz w:val="16"/>
                <w:szCs w:val="16"/>
              </w:rPr>
              <w:t>SOORPX</w:t>
            </w:r>
          </w:p>
        </w:tc>
        <w:tc>
          <w:tcPr>
            <w:tcW w:w="529" w:type="dxa"/>
            <w:tcBorders>
              <w:top w:val="nil"/>
              <w:left w:val="nil"/>
              <w:bottom w:val="single" w:sz="4" w:space="0" w:color="auto"/>
              <w:right w:val="single" w:sz="4" w:space="0" w:color="auto"/>
            </w:tcBorders>
            <w:shd w:val="clear" w:color="000000" w:fill="FFFFFF"/>
            <w:noWrap/>
            <w:vAlign w:val="center"/>
            <w:hideMark/>
          </w:tcPr>
          <w:p w14:paraId="076A2AFA"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EFF65EE"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76F61C45"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5315" w:type="dxa"/>
            <w:gridSpan w:val="9"/>
            <w:vMerge/>
            <w:tcBorders>
              <w:top w:val="nil"/>
              <w:left w:val="nil"/>
              <w:bottom w:val="single" w:sz="4" w:space="0" w:color="auto"/>
              <w:right w:val="single" w:sz="4" w:space="0" w:color="auto"/>
            </w:tcBorders>
            <w:vAlign w:val="center"/>
            <w:hideMark/>
          </w:tcPr>
          <w:p w14:paraId="5AA787D7" w14:textId="77777777" w:rsidR="002B4D79" w:rsidRPr="000E59F5" w:rsidRDefault="002B4D79" w:rsidP="00F43C5C">
            <w:pPr>
              <w:spacing w:after="120"/>
              <w:jc w:val="both"/>
              <w:rPr>
                <w:bCs/>
                <w:color w:val="000000"/>
                <w:sz w:val="16"/>
                <w:szCs w:val="16"/>
              </w:rPr>
            </w:pPr>
          </w:p>
        </w:tc>
      </w:tr>
      <w:tr w:rsidR="002B4D79" w:rsidRPr="000E59F5" w14:paraId="14464C7D" w14:textId="77777777" w:rsidTr="002B4D79">
        <w:trPr>
          <w:trHeight w:val="256"/>
        </w:trPr>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F86CA61" w14:textId="77777777" w:rsidR="002B4D79" w:rsidRPr="000E59F5" w:rsidRDefault="002B4D79" w:rsidP="00F43C5C">
            <w:pPr>
              <w:spacing w:after="120"/>
              <w:jc w:val="both"/>
              <w:rPr>
                <w:bCs/>
                <w:color w:val="000000"/>
                <w:sz w:val="16"/>
                <w:szCs w:val="16"/>
              </w:rPr>
            </w:pPr>
            <w:r w:rsidRPr="000E59F5">
              <w:rPr>
                <w:bCs/>
                <w:color w:val="000000"/>
                <w:sz w:val="16"/>
                <w:szCs w:val="16"/>
              </w:rPr>
              <w:t>zdroj kraje ČR</w:t>
            </w:r>
          </w:p>
        </w:tc>
        <w:tc>
          <w:tcPr>
            <w:tcW w:w="798" w:type="dxa"/>
            <w:tcBorders>
              <w:top w:val="nil"/>
              <w:left w:val="nil"/>
              <w:bottom w:val="single" w:sz="4" w:space="0" w:color="auto"/>
              <w:right w:val="single" w:sz="4" w:space="0" w:color="auto"/>
            </w:tcBorders>
            <w:shd w:val="clear" w:color="000000" w:fill="FFFFFF"/>
            <w:noWrap/>
            <w:vAlign w:val="center"/>
            <w:hideMark/>
          </w:tcPr>
          <w:p w14:paraId="310ED051" w14:textId="77777777" w:rsidR="002B4D79" w:rsidRPr="000E59F5" w:rsidRDefault="002B4D79" w:rsidP="00F43C5C">
            <w:pPr>
              <w:spacing w:after="120"/>
              <w:jc w:val="both"/>
              <w:rPr>
                <w:bCs/>
                <w:color w:val="000000"/>
                <w:sz w:val="16"/>
                <w:szCs w:val="16"/>
              </w:rPr>
            </w:pPr>
            <w:r w:rsidRPr="000E59F5">
              <w:rPr>
                <w:bCs/>
                <w:color w:val="000000"/>
                <w:sz w:val="16"/>
                <w:szCs w:val="16"/>
              </w:rPr>
              <w:t>kraj1</w:t>
            </w:r>
          </w:p>
        </w:tc>
        <w:tc>
          <w:tcPr>
            <w:tcW w:w="529" w:type="dxa"/>
            <w:tcBorders>
              <w:top w:val="nil"/>
              <w:left w:val="nil"/>
              <w:bottom w:val="single" w:sz="4" w:space="0" w:color="auto"/>
              <w:right w:val="single" w:sz="4" w:space="0" w:color="auto"/>
            </w:tcBorders>
            <w:shd w:val="clear" w:color="000000" w:fill="FFFFFF"/>
            <w:noWrap/>
            <w:vAlign w:val="center"/>
            <w:hideMark/>
          </w:tcPr>
          <w:p w14:paraId="205A8E8A"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D1B192D"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23A1B368"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5315" w:type="dxa"/>
            <w:gridSpan w:val="9"/>
            <w:vMerge/>
            <w:tcBorders>
              <w:top w:val="nil"/>
              <w:left w:val="nil"/>
              <w:bottom w:val="single" w:sz="4" w:space="0" w:color="auto"/>
              <w:right w:val="single" w:sz="4" w:space="0" w:color="auto"/>
            </w:tcBorders>
            <w:vAlign w:val="center"/>
            <w:hideMark/>
          </w:tcPr>
          <w:p w14:paraId="0D6C7161" w14:textId="77777777" w:rsidR="002B4D79" w:rsidRPr="000E59F5" w:rsidRDefault="002B4D79" w:rsidP="00F43C5C">
            <w:pPr>
              <w:spacing w:after="120"/>
              <w:jc w:val="both"/>
              <w:rPr>
                <w:bCs/>
                <w:color w:val="000000"/>
                <w:sz w:val="16"/>
                <w:szCs w:val="16"/>
              </w:rPr>
            </w:pPr>
          </w:p>
        </w:tc>
      </w:tr>
      <w:tr w:rsidR="002B4D79" w:rsidRPr="000E59F5" w14:paraId="3837B093" w14:textId="77777777" w:rsidTr="002B4D79">
        <w:trPr>
          <w:trHeight w:val="256"/>
        </w:trPr>
        <w:tc>
          <w:tcPr>
            <w:tcW w:w="1318" w:type="dxa"/>
            <w:vMerge/>
            <w:tcBorders>
              <w:top w:val="nil"/>
              <w:left w:val="single" w:sz="4" w:space="0" w:color="auto"/>
              <w:bottom w:val="single" w:sz="4" w:space="0" w:color="auto"/>
              <w:right w:val="single" w:sz="4" w:space="0" w:color="auto"/>
            </w:tcBorders>
            <w:vAlign w:val="center"/>
            <w:hideMark/>
          </w:tcPr>
          <w:p w14:paraId="67F11E5D" w14:textId="77777777" w:rsidR="002B4D79" w:rsidRPr="000E59F5" w:rsidRDefault="002B4D79" w:rsidP="00F43C5C">
            <w:pPr>
              <w:spacing w:after="120"/>
              <w:jc w:val="both"/>
              <w:rPr>
                <w:bCs/>
                <w:color w:val="000000"/>
                <w:sz w:val="16"/>
                <w:szCs w:val="16"/>
              </w:rPr>
            </w:pPr>
          </w:p>
        </w:tc>
        <w:tc>
          <w:tcPr>
            <w:tcW w:w="798" w:type="dxa"/>
            <w:tcBorders>
              <w:top w:val="nil"/>
              <w:left w:val="nil"/>
              <w:bottom w:val="single" w:sz="4" w:space="0" w:color="auto"/>
              <w:right w:val="single" w:sz="4" w:space="0" w:color="auto"/>
            </w:tcBorders>
            <w:shd w:val="clear" w:color="000000" w:fill="FFFFFF"/>
            <w:noWrap/>
            <w:vAlign w:val="center"/>
            <w:hideMark/>
          </w:tcPr>
          <w:p w14:paraId="2826D684" w14:textId="77777777" w:rsidR="002B4D79" w:rsidRPr="000E59F5" w:rsidRDefault="002B4D79" w:rsidP="00F43C5C">
            <w:pPr>
              <w:spacing w:after="120"/>
              <w:jc w:val="both"/>
              <w:rPr>
                <w:bCs/>
                <w:color w:val="000000"/>
                <w:sz w:val="16"/>
                <w:szCs w:val="16"/>
              </w:rPr>
            </w:pPr>
            <w:r w:rsidRPr="000E59F5">
              <w:rPr>
                <w:bCs/>
                <w:color w:val="000000"/>
                <w:sz w:val="16"/>
                <w:szCs w:val="16"/>
              </w:rPr>
              <w:t>…</w:t>
            </w:r>
          </w:p>
        </w:tc>
        <w:tc>
          <w:tcPr>
            <w:tcW w:w="529" w:type="dxa"/>
            <w:tcBorders>
              <w:top w:val="nil"/>
              <w:left w:val="nil"/>
              <w:bottom w:val="single" w:sz="4" w:space="0" w:color="auto"/>
              <w:right w:val="single" w:sz="4" w:space="0" w:color="auto"/>
            </w:tcBorders>
            <w:shd w:val="clear" w:color="000000" w:fill="FFFFFF"/>
            <w:noWrap/>
            <w:vAlign w:val="center"/>
            <w:hideMark/>
          </w:tcPr>
          <w:p w14:paraId="75003BAC"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4FE3EC1"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48BA42F6"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5315" w:type="dxa"/>
            <w:gridSpan w:val="9"/>
            <w:vMerge/>
            <w:tcBorders>
              <w:top w:val="nil"/>
              <w:left w:val="nil"/>
              <w:bottom w:val="single" w:sz="4" w:space="0" w:color="auto"/>
              <w:right w:val="single" w:sz="4" w:space="0" w:color="auto"/>
            </w:tcBorders>
            <w:vAlign w:val="center"/>
            <w:hideMark/>
          </w:tcPr>
          <w:p w14:paraId="2CA7B0D5" w14:textId="77777777" w:rsidR="002B4D79" w:rsidRPr="000E59F5" w:rsidRDefault="002B4D79" w:rsidP="00F43C5C">
            <w:pPr>
              <w:spacing w:after="120"/>
              <w:jc w:val="both"/>
              <w:rPr>
                <w:bCs/>
                <w:color w:val="000000"/>
                <w:sz w:val="16"/>
                <w:szCs w:val="16"/>
              </w:rPr>
            </w:pPr>
          </w:p>
        </w:tc>
      </w:tr>
      <w:tr w:rsidR="002B4D79" w:rsidRPr="000E59F5" w14:paraId="0DA271C5" w14:textId="77777777" w:rsidTr="002B4D79">
        <w:trPr>
          <w:trHeight w:val="256"/>
        </w:trPr>
        <w:tc>
          <w:tcPr>
            <w:tcW w:w="1318" w:type="dxa"/>
            <w:vMerge/>
            <w:tcBorders>
              <w:top w:val="nil"/>
              <w:left w:val="single" w:sz="4" w:space="0" w:color="auto"/>
              <w:bottom w:val="single" w:sz="4" w:space="0" w:color="auto"/>
              <w:right w:val="single" w:sz="4" w:space="0" w:color="auto"/>
            </w:tcBorders>
            <w:vAlign w:val="center"/>
            <w:hideMark/>
          </w:tcPr>
          <w:p w14:paraId="4B7DBF09" w14:textId="77777777" w:rsidR="002B4D79" w:rsidRPr="000E59F5" w:rsidRDefault="002B4D79" w:rsidP="00F43C5C">
            <w:pPr>
              <w:spacing w:after="120"/>
              <w:jc w:val="both"/>
              <w:rPr>
                <w:bCs/>
                <w:color w:val="000000"/>
                <w:sz w:val="16"/>
                <w:szCs w:val="16"/>
              </w:rPr>
            </w:pPr>
          </w:p>
        </w:tc>
        <w:tc>
          <w:tcPr>
            <w:tcW w:w="798" w:type="dxa"/>
            <w:tcBorders>
              <w:top w:val="nil"/>
              <w:left w:val="nil"/>
              <w:bottom w:val="single" w:sz="4" w:space="0" w:color="auto"/>
              <w:right w:val="single" w:sz="4" w:space="0" w:color="auto"/>
            </w:tcBorders>
            <w:shd w:val="clear" w:color="000000" w:fill="FFFFFF"/>
            <w:noWrap/>
            <w:vAlign w:val="center"/>
            <w:hideMark/>
          </w:tcPr>
          <w:p w14:paraId="3216889F" w14:textId="77777777" w:rsidR="002B4D79" w:rsidRPr="000E59F5" w:rsidRDefault="002B4D79" w:rsidP="00F43C5C">
            <w:pPr>
              <w:spacing w:after="120"/>
              <w:jc w:val="both"/>
              <w:rPr>
                <w:bCs/>
                <w:color w:val="000000"/>
                <w:sz w:val="16"/>
                <w:szCs w:val="16"/>
              </w:rPr>
            </w:pPr>
            <w:proofErr w:type="spellStart"/>
            <w:r w:rsidRPr="000E59F5">
              <w:rPr>
                <w:bCs/>
                <w:color w:val="000000"/>
                <w:sz w:val="16"/>
                <w:szCs w:val="16"/>
              </w:rPr>
              <w:t>krajX</w:t>
            </w:r>
            <w:proofErr w:type="spellEnd"/>
          </w:p>
        </w:tc>
        <w:tc>
          <w:tcPr>
            <w:tcW w:w="529" w:type="dxa"/>
            <w:tcBorders>
              <w:top w:val="nil"/>
              <w:left w:val="nil"/>
              <w:bottom w:val="single" w:sz="4" w:space="0" w:color="auto"/>
              <w:right w:val="single" w:sz="4" w:space="0" w:color="auto"/>
            </w:tcBorders>
            <w:shd w:val="clear" w:color="000000" w:fill="FFFFFF"/>
            <w:noWrap/>
            <w:vAlign w:val="center"/>
            <w:hideMark/>
          </w:tcPr>
          <w:p w14:paraId="25841920"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7C4A08A"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2D4FA5A7"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5315" w:type="dxa"/>
            <w:gridSpan w:val="9"/>
            <w:vMerge/>
            <w:tcBorders>
              <w:top w:val="nil"/>
              <w:left w:val="nil"/>
              <w:bottom w:val="single" w:sz="4" w:space="0" w:color="auto"/>
              <w:right w:val="single" w:sz="4" w:space="0" w:color="auto"/>
            </w:tcBorders>
            <w:vAlign w:val="center"/>
            <w:hideMark/>
          </w:tcPr>
          <w:p w14:paraId="6392B123" w14:textId="77777777" w:rsidR="002B4D79" w:rsidRPr="000E59F5" w:rsidRDefault="002B4D79" w:rsidP="00F43C5C">
            <w:pPr>
              <w:spacing w:after="120"/>
              <w:jc w:val="both"/>
              <w:rPr>
                <w:bCs/>
                <w:color w:val="000000"/>
                <w:sz w:val="16"/>
                <w:szCs w:val="16"/>
              </w:rPr>
            </w:pPr>
          </w:p>
        </w:tc>
      </w:tr>
      <w:tr w:rsidR="002B4D79" w:rsidRPr="000E59F5" w14:paraId="42214274" w14:textId="77777777" w:rsidTr="002B4D79">
        <w:trPr>
          <w:trHeight w:val="256"/>
        </w:trPr>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F3552E" w14:textId="77777777" w:rsidR="002B4D79" w:rsidRPr="000E59F5" w:rsidRDefault="002B4D79" w:rsidP="00F43C5C">
            <w:pPr>
              <w:spacing w:after="120"/>
              <w:jc w:val="both"/>
              <w:rPr>
                <w:bCs/>
                <w:color w:val="000000"/>
                <w:sz w:val="16"/>
                <w:szCs w:val="16"/>
              </w:rPr>
            </w:pPr>
            <w:r w:rsidRPr="000E59F5">
              <w:rPr>
                <w:bCs/>
                <w:color w:val="000000"/>
                <w:sz w:val="16"/>
                <w:szCs w:val="16"/>
              </w:rPr>
              <w:t>zdroj zahraničí</w:t>
            </w:r>
          </w:p>
        </w:tc>
        <w:tc>
          <w:tcPr>
            <w:tcW w:w="7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1178B8C" w14:textId="77777777" w:rsidR="002B4D79" w:rsidRPr="000E59F5" w:rsidRDefault="002B4D79" w:rsidP="00F43C5C">
            <w:pPr>
              <w:spacing w:after="120"/>
              <w:jc w:val="both"/>
              <w:rPr>
                <w:bCs/>
                <w:color w:val="000000"/>
                <w:sz w:val="16"/>
                <w:szCs w:val="16"/>
              </w:rPr>
            </w:pPr>
            <w:r w:rsidRPr="000E59F5">
              <w:rPr>
                <w:bCs/>
                <w:color w:val="000000"/>
                <w:sz w:val="16"/>
                <w:szCs w:val="16"/>
              </w:rPr>
              <w:t>zahraničí</w:t>
            </w:r>
          </w:p>
        </w:tc>
        <w:tc>
          <w:tcPr>
            <w:tcW w:w="529" w:type="dxa"/>
            <w:tcBorders>
              <w:top w:val="nil"/>
              <w:left w:val="nil"/>
              <w:bottom w:val="single" w:sz="4" w:space="0" w:color="auto"/>
              <w:right w:val="single" w:sz="4" w:space="0" w:color="auto"/>
            </w:tcBorders>
            <w:shd w:val="clear" w:color="000000" w:fill="FFFFFF"/>
            <w:noWrap/>
            <w:vAlign w:val="center"/>
            <w:hideMark/>
          </w:tcPr>
          <w:p w14:paraId="6F51386C"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9EE7AC7"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6CE8DB5D" w14:textId="77777777" w:rsidR="002B4D79" w:rsidRPr="000E59F5" w:rsidRDefault="002B4D79" w:rsidP="00F43C5C">
            <w:pPr>
              <w:spacing w:after="120"/>
              <w:jc w:val="both"/>
              <w:rPr>
                <w:bCs/>
                <w:color w:val="000000"/>
                <w:sz w:val="16"/>
                <w:szCs w:val="16"/>
              </w:rPr>
            </w:pPr>
            <w:r w:rsidRPr="000E59F5">
              <w:rPr>
                <w:bCs/>
                <w:color w:val="000000"/>
                <w:sz w:val="16"/>
                <w:szCs w:val="16"/>
              </w:rPr>
              <w:t> </w:t>
            </w:r>
          </w:p>
        </w:tc>
        <w:tc>
          <w:tcPr>
            <w:tcW w:w="5315" w:type="dxa"/>
            <w:gridSpan w:val="9"/>
            <w:vMerge/>
            <w:tcBorders>
              <w:top w:val="nil"/>
              <w:left w:val="nil"/>
              <w:bottom w:val="single" w:sz="4" w:space="0" w:color="auto"/>
              <w:right w:val="single" w:sz="4" w:space="0" w:color="auto"/>
            </w:tcBorders>
            <w:vAlign w:val="center"/>
            <w:hideMark/>
          </w:tcPr>
          <w:p w14:paraId="3C346C08" w14:textId="77777777" w:rsidR="002B4D79" w:rsidRPr="000E59F5" w:rsidRDefault="002B4D79" w:rsidP="00F43C5C">
            <w:pPr>
              <w:spacing w:after="120"/>
              <w:jc w:val="both"/>
              <w:rPr>
                <w:bCs/>
                <w:color w:val="000000"/>
                <w:sz w:val="16"/>
                <w:szCs w:val="16"/>
              </w:rPr>
            </w:pPr>
          </w:p>
        </w:tc>
      </w:tr>
      <w:tr w:rsidR="002B4D79" w:rsidRPr="000E59F5" w14:paraId="4FBFC26C" w14:textId="77777777" w:rsidTr="002B4D79">
        <w:trPr>
          <w:trHeight w:val="256"/>
        </w:trPr>
        <w:tc>
          <w:tcPr>
            <w:tcW w:w="1318" w:type="dxa"/>
            <w:vMerge/>
            <w:tcBorders>
              <w:top w:val="nil"/>
              <w:left w:val="single" w:sz="4" w:space="0" w:color="auto"/>
              <w:bottom w:val="single" w:sz="4" w:space="0" w:color="auto"/>
              <w:right w:val="single" w:sz="4" w:space="0" w:color="auto"/>
            </w:tcBorders>
            <w:vAlign w:val="center"/>
            <w:hideMark/>
          </w:tcPr>
          <w:p w14:paraId="10FF23ED" w14:textId="77777777" w:rsidR="002B4D79" w:rsidRPr="000E59F5" w:rsidRDefault="002B4D79" w:rsidP="00F43C5C">
            <w:pPr>
              <w:spacing w:after="120"/>
              <w:jc w:val="both"/>
              <w:rPr>
                <w:rFonts w:ascii="Calibri" w:hAnsi="Calibri"/>
                <w:b/>
                <w:bCs/>
                <w:color w:val="000000"/>
                <w:sz w:val="16"/>
                <w:szCs w:val="16"/>
              </w:rPr>
            </w:pPr>
          </w:p>
        </w:tc>
        <w:tc>
          <w:tcPr>
            <w:tcW w:w="798" w:type="dxa"/>
            <w:vMerge/>
            <w:tcBorders>
              <w:top w:val="nil"/>
              <w:left w:val="single" w:sz="4" w:space="0" w:color="auto"/>
              <w:bottom w:val="single" w:sz="4" w:space="0" w:color="auto"/>
              <w:right w:val="single" w:sz="4" w:space="0" w:color="auto"/>
            </w:tcBorders>
            <w:vAlign w:val="center"/>
            <w:hideMark/>
          </w:tcPr>
          <w:p w14:paraId="2711EF06" w14:textId="77777777" w:rsidR="002B4D79" w:rsidRPr="000E59F5" w:rsidRDefault="002B4D79" w:rsidP="00F43C5C">
            <w:pPr>
              <w:spacing w:after="120"/>
              <w:jc w:val="both"/>
              <w:rPr>
                <w:rFonts w:ascii="Calibri" w:hAnsi="Calibri"/>
                <w:b/>
                <w:bCs/>
                <w:color w:val="000000"/>
                <w:sz w:val="16"/>
                <w:szCs w:val="16"/>
              </w:rPr>
            </w:pPr>
          </w:p>
        </w:tc>
        <w:tc>
          <w:tcPr>
            <w:tcW w:w="529" w:type="dxa"/>
            <w:tcBorders>
              <w:top w:val="nil"/>
              <w:left w:val="nil"/>
              <w:bottom w:val="single" w:sz="4" w:space="0" w:color="auto"/>
              <w:right w:val="single" w:sz="4" w:space="0" w:color="auto"/>
            </w:tcBorders>
            <w:shd w:val="clear" w:color="000000" w:fill="FFFFFF"/>
            <w:noWrap/>
            <w:vAlign w:val="center"/>
            <w:hideMark/>
          </w:tcPr>
          <w:p w14:paraId="760B8E4C" w14:textId="77777777" w:rsidR="002B4D79" w:rsidRPr="000E59F5" w:rsidRDefault="002B4D79" w:rsidP="00F43C5C">
            <w:pPr>
              <w:spacing w:after="120"/>
              <w:jc w:val="both"/>
              <w:rPr>
                <w:rFonts w:ascii="Calibri" w:hAnsi="Calibri"/>
                <w:b/>
                <w:bCs/>
                <w:color w:val="000000"/>
                <w:sz w:val="16"/>
                <w:szCs w:val="16"/>
              </w:rPr>
            </w:pPr>
            <w:r w:rsidRPr="000E59F5">
              <w:rPr>
                <w:rFonts w:ascii="Calibri" w:hAnsi="Calibri"/>
                <w:b/>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45EE0A3" w14:textId="77777777" w:rsidR="002B4D79" w:rsidRPr="000E59F5" w:rsidRDefault="002B4D79" w:rsidP="00F43C5C">
            <w:pPr>
              <w:spacing w:after="120"/>
              <w:jc w:val="both"/>
              <w:rPr>
                <w:rFonts w:ascii="Calibri" w:hAnsi="Calibri"/>
                <w:b/>
                <w:bCs/>
                <w:color w:val="000000"/>
                <w:sz w:val="16"/>
                <w:szCs w:val="16"/>
              </w:rPr>
            </w:pPr>
            <w:r w:rsidRPr="000E59F5">
              <w:rPr>
                <w:rFonts w:ascii="Calibri" w:hAnsi="Calibri"/>
                <w:b/>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36DC9DC3" w14:textId="77777777" w:rsidR="002B4D79" w:rsidRPr="000E59F5" w:rsidRDefault="002B4D79" w:rsidP="00F43C5C">
            <w:pPr>
              <w:spacing w:after="120"/>
              <w:jc w:val="both"/>
              <w:rPr>
                <w:rFonts w:ascii="Calibri" w:hAnsi="Calibri"/>
                <w:b/>
                <w:bCs/>
                <w:color w:val="000000"/>
                <w:sz w:val="16"/>
                <w:szCs w:val="16"/>
              </w:rPr>
            </w:pPr>
            <w:r w:rsidRPr="000E59F5">
              <w:rPr>
                <w:rFonts w:ascii="Calibri" w:hAnsi="Calibri"/>
                <w:b/>
                <w:bCs/>
                <w:color w:val="000000"/>
                <w:sz w:val="16"/>
                <w:szCs w:val="16"/>
              </w:rPr>
              <w:t> </w:t>
            </w:r>
          </w:p>
        </w:tc>
        <w:tc>
          <w:tcPr>
            <w:tcW w:w="5315" w:type="dxa"/>
            <w:gridSpan w:val="9"/>
            <w:vMerge/>
            <w:tcBorders>
              <w:top w:val="nil"/>
              <w:left w:val="nil"/>
              <w:bottom w:val="single" w:sz="4" w:space="0" w:color="auto"/>
              <w:right w:val="single" w:sz="4" w:space="0" w:color="auto"/>
            </w:tcBorders>
            <w:vAlign w:val="center"/>
            <w:hideMark/>
          </w:tcPr>
          <w:p w14:paraId="489D25CB" w14:textId="77777777" w:rsidR="002B4D79" w:rsidRPr="000E59F5" w:rsidRDefault="002B4D79" w:rsidP="00F43C5C">
            <w:pPr>
              <w:spacing w:after="120"/>
              <w:jc w:val="both"/>
              <w:rPr>
                <w:rFonts w:ascii="Calibri" w:hAnsi="Calibri"/>
                <w:b/>
                <w:bCs/>
                <w:color w:val="000000"/>
                <w:sz w:val="16"/>
                <w:szCs w:val="16"/>
              </w:rPr>
            </w:pPr>
          </w:p>
        </w:tc>
      </w:tr>
      <w:tr w:rsidR="002B4D79" w:rsidRPr="000E59F5" w14:paraId="32AF2B90" w14:textId="77777777" w:rsidTr="002B4D79">
        <w:trPr>
          <w:trHeight w:val="256"/>
        </w:trPr>
        <w:tc>
          <w:tcPr>
            <w:tcW w:w="1318" w:type="dxa"/>
            <w:vMerge/>
            <w:tcBorders>
              <w:top w:val="nil"/>
              <w:left w:val="single" w:sz="4" w:space="0" w:color="auto"/>
              <w:bottom w:val="single" w:sz="4" w:space="0" w:color="auto"/>
              <w:right w:val="single" w:sz="4" w:space="0" w:color="auto"/>
            </w:tcBorders>
            <w:vAlign w:val="center"/>
            <w:hideMark/>
          </w:tcPr>
          <w:p w14:paraId="0A9295BC" w14:textId="77777777" w:rsidR="002B4D79" w:rsidRPr="000E59F5" w:rsidRDefault="002B4D79" w:rsidP="00F43C5C">
            <w:pPr>
              <w:spacing w:after="120"/>
              <w:jc w:val="both"/>
              <w:rPr>
                <w:rFonts w:ascii="Calibri" w:hAnsi="Calibri"/>
                <w:b/>
                <w:bCs/>
                <w:color w:val="000000"/>
                <w:sz w:val="16"/>
                <w:szCs w:val="16"/>
              </w:rPr>
            </w:pPr>
          </w:p>
        </w:tc>
        <w:tc>
          <w:tcPr>
            <w:tcW w:w="798" w:type="dxa"/>
            <w:vMerge/>
            <w:tcBorders>
              <w:top w:val="nil"/>
              <w:left w:val="single" w:sz="4" w:space="0" w:color="auto"/>
              <w:bottom w:val="single" w:sz="4" w:space="0" w:color="auto"/>
              <w:right w:val="single" w:sz="4" w:space="0" w:color="auto"/>
            </w:tcBorders>
            <w:vAlign w:val="center"/>
            <w:hideMark/>
          </w:tcPr>
          <w:p w14:paraId="34870160" w14:textId="77777777" w:rsidR="002B4D79" w:rsidRPr="000E59F5" w:rsidRDefault="002B4D79" w:rsidP="00F43C5C">
            <w:pPr>
              <w:spacing w:after="120"/>
              <w:jc w:val="both"/>
              <w:rPr>
                <w:rFonts w:ascii="Calibri" w:hAnsi="Calibri"/>
                <w:b/>
                <w:bCs/>
                <w:color w:val="000000"/>
                <w:sz w:val="16"/>
                <w:szCs w:val="16"/>
              </w:rPr>
            </w:pPr>
          </w:p>
        </w:tc>
        <w:tc>
          <w:tcPr>
            <w:tcW w:w="529" w:type="dxa"/>
            <w:tcBorders>
              <w:top w:val="nil"/>
              <w:left w:val="nil"/>
              <w:bottom w:val="single" w:sz="4" w:space="0" w:color="auto"/>
              <w:right w:val="single" w:sz="4" w:space="0" w:color="auto"/>
            </w:tcBorders>
            <w:shd w:val="clear" w:color="000000" w:fill="FFFFFF"/>
            <w:noWrap/>
            <w:vAlign w:val="center"/>
            <w:hideMark/>
          </w:tcPr>
          <w:p w14:paraId="3A4C7C91" w14:textId="77777777" w:rsidR="002B4D79" w:rsidRPr="000E59F5" w:rsidRDefault="002B4D79" w:rsidP="00F43C5C">
            <w:pPr>
              <w:spacing w:after="120"/>
              <w:jc w:val="both"/>
              <w:rPr>
                <w:rFonts w:ascii="Calibri" w:hAnsi="Calibri"/>
                <w:b/>
                <w:bCs/>
                <w:color w:val="000000"/>
                <w:sz w:val="16"/>
                <w:szCs w:val="16"/>
              </w:rPr>
            </w:pPr>
            <w:r w:rsidRPr="000E59F5">
              <w:rPr>
                <w:rFonts w:ascii="Calibri" w:hAnsi="Calibri"/>
                <w:b/>
                <w:bCs/>
                <w:color w:val="000000"/>
                <w:sz w:val="16"/>
                <w:szCs w:val="16"/>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353A576" w14:textId="77777777" w:rsidR="002B4D79" w:rsidRPr="000E59F5" w:rsidRDefault="002B4D79" w:rsidP="00F43C5C">
            <w:pPr>
              <w:spacing w:after="120"/>
              <w:jc w:val="both"/>
              <w:rPr>
                <w:rFonts w:ascii="Calibri" w:hAnsi="Calibri"/>
                <w:b/>
                <w:bCs/>
                <w:color w:val="000000"/>
                <w:sz w:val="16"/>
                <w:szCs w:val="16"/>
              </w:rPr>
            </w:pPr>
            <w:r w:rsidRPr="000E59F5">
              <w:rPr>
                <w:rFonts w:ascii="Calibri" w:hAnsi="Calibri"/>
                <w:b/>
                <w:bCs/>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14:paraId="5AFF7117" w14:textId="77777777" w:rsidR="002B4D79" w:rsidRPr="000E59F5" w:rsidRDefault="002B4D79" w:rsidP="00F43C5C">
            <w:pPr>
              <w:spacing w:after="120"/>
              <w:jc w:val="both"/>
              <w:rPr>
                <w:rFonts w:ascii="Calibri" w:hAnsi="Calibri"/>
                <w:b/>
                <w:bCs/>
                <w:color w:val="000000"/>
                <w:sz w:val="16"/>
                <w:szCs w:val="16"/>
              </w:rPr>
            </w:pPr>
            <w:r w:rsidRPr="000E59F5">
              <w:rPr>
                <w:rFonts w:ascii="Calibri" w:hAnsi="Calibri"/>
                <w:b/>
                <w:bCs/>
                <w:color w:val="000000"/>
                <w:sz w:val="16"/>
                <w:szCs w:val="16"/>
              </w:rPr>
              <w:t> </w:t>
            </w:r>
          </w:p>
        </w:tc>
        <w:tc>
          <w:tcPr>
            <w:tcW w:w="5315" w:type="dxa"/>
            <w:gridSpan w:val="9"/>
            <w:vMerge/>
            <w:tcBorders>
              <w:top w:val="nil"/>
              <w:left w:val="nil"/>
              <w:bottom w:val="single" w:sz="4" w:space="0" w:color="auto"/>
              <w:right w:val="single" w:sz="4" w:space="0" w:color="auto"/>
            </w:tcBorders>
            <w:vAlign w:val="center"/>
            <w:hideMark/>
          </w:tcPr>
          <w:p w14:paraId="14A2554D" w14:textId="77777777" w:rsidR="002B4D79" w:rsidRPr="000E59F5" w:rsidRDefault="002B4D79" w:rsidP="00F43C5C">
            <w:pPr>
              <w:spacing w:after="120"/>
              <w:jc w:val="both"/>
              <w:rPr>
                <w:rFonts w:ascii="Calibri" w:hAnsi="Calibri"/>
                <w:b/>
                <w:bCs/>
                <w:color w:val="000000"/>
                <w:sz w:val="16"/>
                <w:szCs w:val="16"/>
              </w:rPr>
            </w:pPr>
          </w:p>
        </w:tc>
      </w:tr>
    </w:tbl>
    <w:p w14:paraId="0526FCD2" w14:textId="22E1925F" w:rsidR="002B4D79" w:rsidRDefault="002B4D79" w:rsidP="00F43C5C">
      <w:pPr>
        <w:spacing w:after="120"/>
        <w:jc w:val="both"/>
        <w:rPr>
          <w:highlight w:val="yellow"/>
        </w:rPr>
      </w:pPr>
    </w:p>
    <w:p w14:paraId="4EF35E38" w14:textId="20F20D27" w:rsidR="007C5478" w:rsidRPr="0062450E" w:rsidRDefault="007C5478" w:rsidP="007C5478">
      <w:pPr>
        <w:spacing w:after="120"/>
        <w:jc w:val="both"/>
        <w:rPr>
          <w:b/>
        </w:rPr>
      </w:pPr>
      <w:r w:rsidRPr="0062450E">
        <w:rPr>
          <w:b/>
        </w:rPr>
        <w:t xml:space="preserve">Matice uskutečněných cest je preferována </w:t>
      </w:r>
      <w:r>
        <w:rPr>
          <w:b/>
        </w:rPr>
        <w:t xml:space="preserve">i </w:t>
      </w:r>
      <w:r w:rsidRPr="0062450E">
        <w:rPr>
          <w:b/>
        </w:rPr>
        <w:t xml:space="preserve">v prostorovém vymezení buněk sítě (dle Cell-ID) – tato data budou využita pouze pro interní potřeby MMB. </w:t>
      </w:r>
      <w:r>
        <w:rPr>
          <w:b/>
        </w:rPr>
        <w:t xml:space="preserve">V důsledku vysoké </w:t>
      </w:r>
      <w:proofErr w:type="spellStart"/>
      <w:r>
        <w:rPr>
          <w:b/>
        </w:rPr>
        <w:t>granularity</w:t>
      </w:r>
      <w:proofErr w:type="spellEnd"/>
      <w:r>
        <w:rPr>
          <w:b/>
        </w:rPr>
        <w:t xml:space="preserve"> buněk sítě jsme si vědomi možného vysokého podílu cest, které </w:t>
      </w:r>
      <w:proofErr w:type="gramStart"/>
      <w:r>
        <w:rPr>
          <w:b/>
        </w:rPr>
        <w:t>z</w:t>
      </w:r>
      <w:proofErr w:type="gramEnd"/>
      <w:r>
        <w:rPr>
          <w:b/>
        </w:rPr>
        <w:t xml:space="preserve"> důvody ochrany osobních údajů nemusí být dodány (riziko </w:t>
      </w:r>
      <w:proofErr w:type="spellStart"/>
      <w:r>
        <w:rPr>
          <w:b/>
        </w:rPr>
        <w:t>odpadovosti</w:t>
      </w:r>
      <w:proofErr w:type="spellEnd"/>
      <w:r>
        <w:rPr>
          <w:b/>
        </w:rPr>
        <w:t xml:space="preserve">). Zároveň je </w:t>
      </w:r>
      <w:r w:rsidR="00950297">
        <w:rPr>
          <w:b/>
        </w:rPr>
        <w:t xml:space="preserve">vymezení </w:t>
      </w:r>
      <w:r w:rsidR="00950297">
        <w:rPr>
          <w:b/>
        </w:rPr>
        <w:lastRenderedPageBreak/>
        <w:t>buněk sítě komplikováno překrýváním různých druhů sítí. Zadavatel tedy preferuje takovou agregaci dat za buňky sítě, která se s těmito komplikacemi</w:t>
      </w:r>
      <w:r>
        <w:rPr>
          <w:b/>
        </w:rPr>
        <w:t xml:space="preserve"> </w:t>
      </w:r>
      <w:r w:rsidR="00950297">
        <w:rPr>
          <w:b/>
        </w:rPr>
        <w:t>vyrovnává.</w:t>
      </w:r>
      <w:r>
        <w:rPr>
          <w:b/>
        </w:rPr>
        <w:t xml:space="preserve"> </w:t>
      </w:r>
      <w:r w:rsidRPr="0062450E">
        <w:rPr>
          <w:b/>
        </w:rPr>
        <w:t xml:space="preserve">Dodání dat za buňky sítě (dle Cell-ID) je samostatně hodnoceným kritériem s váhou </w:t>
      </w:r>
      <w:r>
        <w:rPr>
          <w:b/>
        </w:rPr>
        <w:t>1</w:t>
      </w:r>
      <w:r w:rsidRPr="0062450E">
        <w:rPr>
          <w:b/>
        </w:rPr>
        <w:t xml:space="preserve">0 % (viz zadávací podmínky). </w:t>
      </w:r>
    </w:p>
    <w:p w14:paraId="42B904A1" w14:textId="77777777" w:rsidR="007C5478" w:rsidRDefault="007C5478" w:rsidP="00F43C5C">
      <w:pPr>
        <w:spacing w:after="120"/>
        <w:jc w:val="both"/>
        <w:rPr>
          <w:highlight w:val="yellow"/>
        </w:rPr>
      </w:pPr>
    </w:p>
    <w:p w14:paraId="61567F54" w14:textId="77777777" w:rsidR="002B4D79" w:rsidRDefault="002B4D79" w:rsidP="000401B4">
      <w:pPr>
        <w:pStyle w:val="Odstavecseseznamem"/>
        <w:numPr>
          <w:ilvl w:val="0"/>
          <w:numId w:val="9"/>
        </w:numPr>
        <w:spacing w:after="120"/>
        <w:ind w:left="357" w:hanging="357"/>
        <w:jc w:val="both"/>
        <w:rPr>
          <w:b/>
          <w:bCs/>
        </w:rPr>
      </w:pPr>
      <w:r>
        <w:rPr>
          <w:b/>
          <w:bCs/>
        </w:rPr>
        <w:t>Časové vymezení</w:t>
      </w:r>
    </w:p>
    <w:p w14:paraId="4E5FA929" w14:textId="77777777" w:rsidR="002B4D79" w:rsidRDefault="002B4D79" w:rsidP="00F43C5C">
      <w:pPr>
        <w:spacing w:after="120"/>
        <w:jc w:val="both"/>
      </w:pPr>
      <w:r w:rsidRPr="00A72421">
        <w:t>V rámci analýzy dat mobilních operátorů se ukazuje, že neexistuje nic, jako „typick</w:t>
      </w:r>
      <w:r>
        <w:t>ý“ den v týdnu. Proto je nutné přistoupit k pozorování několika dnů, během nichž bude určena míra pravidelnosti jednotlivých cest.</w:t>
      </w:r>
    </w:p>
    <w:p w14:paraId="46E95619" w14:textId="77777777" w:rsidR="002B4D79" w:rsidRDefault="002B4D79" w:rsidP="00F43C5C">
      <w:pPr>
        <w:spacing w:after="120"/>
        <w:jc w:val="both"/>
      </w:pPr>
      <w:r>
        <w:t>Základním sledovaným obdobím pro trasování pohybů osob jsou 4 týdny (včetně víkendů), tedy 28 dní, v průběhu podzimu. Jedná se o týdny bez svátků a týdny, během kterých je v průběhu výuka (semestr) vysokých škol a univerzit. Není podmínkou, aby byly 4 týdny navázány v řadě za sebou, nicméně měly by spadat do kontinuálního období 8 týdnů.</w:t>
      </w:r>
    </w:p>
    <w:p w14:paraId="0098CC83" w14:textId="78C1998E" w:rsidR="002B4D79" w:rsidRDefault="002B4D79" w:rsidP="008D6724">
      <w:pPr>
        <w:spacing w:after="240"/>
        <w:jc w:val="both"/>
      </w:pPr>
      <w:r>
        <w:t>V průběhu takto definovaného období budou sledovány cesty osob a na základě (ne)pravidelnosti pohybů určovány typy zdrojových/cílových míst cest. Na základě definované typologie území (viz dále) bude možno klasifikovat jednotlivé cesty osoby dle základního účelu (viz dále).</w:t>
      </w:r>
    </w:p>
    <w:p w14:paraId="362CCF74" w14:textId="7203CBF4" w:rsidR="009065E6" w:rsidRDefault="009065E6" w:rsidP="008D6724">
      <w:pPr>
        <w:spacing w:after="240"/>
        <w:jc w:val="both"/>
      </w:pPr>
      <w:r>
        <w:t xml:space="preserve">V případě zásahu vyšší moci (v tomto případě především aktuální riziko legislativně daných </w:t>
      </w:r>
      <w:r w:rsidRPr="00412061">
        <w:t xml:space="preserve">omezení v důsledku pandemie covid-19) bude časové vymezení flexibilně řešeno v průběhu řešení </w:t>
      </w:r>
      <w:r w:rsidRPr="001B4AB4">
        <w:t>zakázk</w:t>
      </w:r>
      <w:r w:rsidR="00042E54" w:rsidRPr="001B4AB4">
        <w:t>y (např. data z června nebo září 2020).</w:t>
      </w:r>
    </w:p>
    <w:p w14:paraId="3A5A095F" w14:textId="77777777" w:rsidR="002B4D79" w:rsidRDefault="002B4D79" w:rsidP="000401B4">
      <w:pPr>
        <w:pStyle w:val="Odstavecseseznamem"/>
        <w:numPr>
          <w:ilvl w:val="0"/>
          <w:numId w:val="9"/>
        </w:numPr>
        <w:spacing w:after="120"/>
        <w:ind w:left="357" w:hanging="357"/>
        <w:jc w:val="both"/>
        <w:rPr>
          <w:b/>
          <w:bCs/>
        </w:rPr>
      </w:pPr>
      <w:r>
        <w:rPr>
          <w:b/>
          <w:bCs/>
        </w:rPr>
        <w:t>Definice pobytu (cesty)</w:t>
      </w:r>
    </w:p>
    <w:p w14:paraId="2B264D87" w14:textId="77777777" w:rsidR="002B4D79" w:rsidRDefault="002B4D79" w:rsidP="00F43C5C">
      <w:pPr>
        <w:spacing w:after="120"/>
        <w:jc w:val="both"/>
      </w:pPr>
      <w:r>
        <w:t xml:space="preserve">Vzhledem k technologickým omezením sítě (např. intervaly tzv. periodického update) a snaze odfiltrovat krátkodobé pobyty (např. čekání v dopravní zácpě) je nutné stanovit minimální délku pobytu pro určení zdrojového/cílového místa cesty. Aby byla 1 cesta uzavřená a mohla započít cesta další, musí strávit osoba v daném místě </w:t>
      </w:r>
      <w:r w:rsidRPr="009065E6">
        <w:t>alespoň 30 minut (tedy</w:t>
      </w:r>
      <w:r>
        <w:t xml:space="preserve"> připojení k jedné BTS by mělo odpovídat minimálně 30 minutám; určeno s ohledem na po sobě jdoucí připojení k BTS).</w:t>
      </w:r>
    </w:p>
    <w:p w14:paraId="398EDD1E" w14:textId="3AE9B4FB" w:rsidR="00F43C5C" w:rsidRDefault="00F46A24" w:rsidP="008D6724">
      <w:pPr>
        <w:spacing w:after="240"/>
        <w:jc w:val="both"/>
        <w:rPr>
          <w:b/>
          <w:bCs/>
        </w:rPr>
      </w:pPr>
      <w:r>
        <w:rPr>
          <w:b/>
          <w:bCs/>
        </w:rPr>
        <w:t xml:space="preserve">Uchazeč popíše, jakým způsobem stanovuje pobyt a jeho délku s ohledem </w:t>
      </w:r>
      <w:r w:rsidR="00AC7BDD">
        <w:rPr>
          <w:b/>
          <w:bCs/>
        </w:rPr>
        <w:t>na techn</w:t>
      </w:r>
      <w:r>
        <w:rPr>
          <w:b/>
          <w:bCs/>
        </w:rPr>
        <w:t>ické limity sítě.</w:t>
      </w:r>
      <w:r w:rsidR="00AC7BDD">
        <w:rPr>
          <w:b/>
          <w:bCs/>
        </w:rPr>
        <w:t xml:space="preserve"> Uchazeč případně navrhne alternativní metodiku definování pobytu.</w:t>
      </w:r>
    </w:p>
    <w:p w14:paraId="7778EE42" w14:textId="77777777" w:rsidR="002B4D79" w:rsidRDefault="002B4D79" w:rsidP="000401B4">
      <w:pPr>
        <w:pStyle w:val="Odstavecseseznamem"/>
        <w:numPr>
          <w:ilvl w:val="0"/>
          <w:numId w:val="9"/>
        </w:numPr>
        <w:spacing w:after="120"/>
        <w:ind w:left="357" w:hanging="357"/>
        <w:jc w:val="both"/>
        <w:rPr>
          <w:b/>
          <w:bCs/>
        </w:rPr>
      </w:pPr>
      <w:r>
        <w:rPr>
          <w:b/>
          <w:bCs/>
        </w:rPr>
        <w:t>Typologie území</w:t>
      </w:r>
    </w:p>
    <w:p w14:paraId="75595F59" w14:textId="77777777" w:rsidR="002B4D79" w:rsidRDefault="002B4D79" w:rsidP="00F43C5C">
      <w:pPr>
        <w:spacing w:after="120"/>
        <w:jc w:val="both"/>
      </w:pPr>
      <w:r w:rsidRPr="009A0530">
        <w:rPr>
          <w:bCs/>
        </w:rPr>
        <w:t xml:space="preserve">Pro analýzu </w:t>
      </w:r>
      <w:r>
        <w:rPr>
          <w:bCs/>
        </w:rPr>
        <w:t>uskutečněných cest je zásadní definovat typy</w:t>
      </w:r>
      <w:r>
        <w:t xml:space="preserve"> území, které jsou zdrojovým či cílovým místem daných aktivit. Ve sledovaném období je tak sledován pohyb konkrétních SIM karet (dle ID), u kterých byl alespoň jednou zaznamenán pobyt v zájmovém území. Na základě všech pohybů jedné SIM karty v průběhu daných 4 týdnů pak budou na základě míst pobytu identifikovány následující typy území pro konkrétní osobu:</w:t>
      </w:r>
    </w:p>
    <w:p w14:paraId="57DCDB85" w14:textId="77777777" w:rsidR="002B4D79" w:rsidRDefault="002B4D79" w:rsidP="00F43C5C">
      <w:pPr>
        <w:spacing w:after="120"/>
        <w:jc w:val="both"/>
      </w:pPr>
      <w:r w:rsidRPr="009A0530">
        <w:rPr>
          <w:u w:val="single"/>
        </w:rPr>
        <w:t>Bydliště</w:t>
      </w:r>
      <w:r>
        <w:t xml:space="preserve"> (B) – Jedná se o primární kotevní oblast osoby (SIM karty). Ve sledovaném období tam, kde osoba tráví většinu času v rozmezí 00:00 – 04:00 (nemusí se nutně jednat o nadpoloviční většinu času – např. při více územích s pobytem osoby v daném časovém intervalu se vybere to území, kde osoba tráví nejvíce času). Ačkoliv existuje určitá část populace, která se nemusí v daný časový úsek většinově nacházet ve svém bydlišti, bude se jednat o marginální segment obyvatelstva a pro poptávané měřítko analýzy se nejedná o zásadní skutečnost.</w:t>
      </w:r>
    </w:p>
    <w:p w14:paraId="45EFF211" w14:textId="1B941BEE" w:rsidR="002B4D79" w:rsidRDefault="002B4D79" w:rsidP="00F43C5C">
      <w:pPr>
        <w:spacing w:after="120"/>
        <w:jc w:val="both"/>
      </w:pPr>
      <w:r w:rsidRPr="009A0530">
        <w:rPr>
          <w:u w:val="single"/>
        </w:rPr>
        <w:lastRenderedPageBreak/>
        <w:t>Pracoviště/škola</w:t>
      </w:r>
      <w:r>
        <w:t xml:space="preserve"> (PŠ) – Jedná se o území, které je navštěvováno pravidelně a v převážnou část týdne. Tento územní typ by měl poukazovat především na území pracoviště nebo školy dané osoby. </w:t>
      </w:r>
      <w:r w:rsidR="00076533">
        <w:t>V</w:t>
      </w:r>
      <w:r>
        <w:t xml:space="preserve">e sledovaném období tam, kde osoba v průměru minimálně 3x týdně tráví minimálně 6 hodin nebo minimálně </w:t>
      </w:r>
      <w:r w:rsidR="0034248E">
        <w:t>4</w:t>
      </w:r>
      <w:r>
        <w:t>x týdně tráví minimálně 4 hodiny a jedná se o jinou územní jednotku, než je bydliště osoby.</w:t>
      </w:r>
    </w:p>
    <w:p w14:paraId="58062209" w14:textId="77777777" w:rsidR="002B4D79" w:rsidRDefault="002B4D79" w:rsidP="00F43C5C">
      <w:pPr>
        <w:spacing w:after="120"/>
        <w:jc w:val="both"/>
      </w:pPr>
      <w:r w:rsidRPr="009A0530">
        <w:rPr>
          <w:u w:val="single"/>
        </w:rPr>
        <w:t>Pravidelné návštěvy</w:t>
      </w:r>
      <w:r>
        <w:t xml:space="preserve"> (PN) – Jedná se o území, které je navštěvováno pravidelně, ale nemusí se jednat o denní </w:t>
      </w:r>
      <w:proofErr w:type="spellStart"/>
      <w:r>
        <w:t>rytmicitu</w:t>
      </w:r>
      <w:proofErr w:type="spellEnd"/>
      <w:r>
        <w:t xml:space="preserve"> a delší časový úsek. Snahou je podchytit cesty za volnočasovými aktivitami, nákupem, cesty k lékaři, ale i víkendové cesty spojené s turistikou či </w:t>
      </w:r>
      <w:proofErr w:type="gramStart"/>
      <w:r>
        <w:t>chalupařením,</w:t>
      </w:r>
      <w:proofErr w:type="gramEnd"/>
      <w:r>
        <w:t xml:space="preserve"> apod. Ve sledovaném období tam, kde osoba v průměru minimálně 1x týdně tráví minimálně 30 minut a jedná se o jinou územní jednotku, než je bydliště osoby.</w:t>
      </w:r>
    </w:p>
    <w:p w14:paraId="0D90B305" w14:textId="77777777" w:rsidR="002B4D79" w:rsidRDefault="002B4D79" w:rsidP="00F43C5C">
      <w:pPr>
        <w:spacing w:after="120"/>
        <w:jc w:val="both"/>
      </w:pPr>
      <w:r w:rsidRPr="009A0530">
        <w:rPr>
          <w:u w:val="single"/>
        </w:rPr>
        <w:t>Nepravidelné návštěvy</w:t>
      </w:r>
      <w:r>
        <w:t xml:space="preserve"> (NN) – Jedná se o území, které je navštěvováno nepravidelně. Sem mohou patřit jednorázové výskyty osob spojené např. s turistikou, zastavením tranzitujících </w:t>
      </w:r>
      <w:proofErr w:type="gramStart"/>
      <w:r>
        <w:t>osob,</w:t>
      </w:r>
      <w:proofErr w:type="gramEnd"/>
      <w:r>
        <w:t xml:space="preserve"> apod. Ve sledovaném období tam,</w:t>
      </w:r>
      <w:r w:rsidRPr="00C41D80">
        <w:t xml:space="preserve"> </w:t>
      </w:r>
      <w:r>
        <w:t xml:space="preserve">kde osoba v průměru </w:t>
      </w:r>
      <w:proofErr w:type="gramStart"/>
      <w:r>
        <w:t>méně</w:t>
      </w:r>
      <w:proofErr w:type="gramEnd"/>
      <w:r>
        <w:t xml:space="preserve"> než 1x týdně tráví minimálně 30 minut a jedná se o jinou územní jednotku, než je bydliště osoby. </w:t>
      </w:r>
    </w:p>
    <w:p w14:paraId="74D36C4C" w14:textId="77777777" w:rsidR="002B4D79" w:rsidRDefault="002B4D79" w:rsidP="00F43C5C">
      <w:pPr>
        <w:spacing w:after="120"/>
        <w:jc w:val="both"/>
        <w:rPr>
          <w:bCs/>
        </w:rPr>
      </w:pPr>
      <w:r>
        <w:rPr>
          <w:bCs/>
        </w:rPr>
        <w:t>Pro všechny typy území (kromě bydliště) platí, že definice příslušného časového rámce (týdenní frekvence a čas strávený v hodinách) se mezi jednotlivými typy vzájemně vylučuje. Typologie území v závislosti na týdenní frekvenci a času v hodinách je zobrazena na následujícím schématu:</w:t>
      </w:r>
    </w:p>
    <w:p w14:paraId="6DEE8A62" w14:textId="77777777" w:rsidR="002B4D79" w:rsidRDefault="002B4D79" w:rsidP="00F43C5C">
      <w:pPr>
        <w:spacing w:after="120"/>
        <w:jc w:val="both"/>
        <w:rPr>
          <w:bCs/>
        </w:rPr>
      </w:pPr>
      <w:r>
        <w:rPr>
          <w:noProof/>
        </w:rPr>
        <w:drawing>
          <wp:inline distT="0" distB="0" distL="0" distR="0" wp14:anchorId="31E44EB6" wp14:editId="707E7FB8">
            <wp:extent cx="5695950" cy="27432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8C59EF7" w14:textId="77777777" w:rsidR="00F43C5C" w:rsidRDefault="00F43C5C" w:rsidP="00F43C5C">
      <w:pPr>
        <w:spacing w:after="120"/>
        <w:jc w:val="both"/>
        <w:rPr>
          <w:bCs/>
        </w:rPr>
      </w:pPr>
    </w:p>
    <w:p w14:paraId="4DD8F298" w14:textId="1D89D161" w:rsidR="00F46A24" w:rsidRPr="00AC7BDD" w:rsidRDefault="00F46A24" w:rsidP="008D6724">
      <w:pPr>
        <w:spacing w:after="240"/>
        <w:jc w:val="both"/>
        <w:rPr>
          <w:b/>
          <w:bCs/>
        </w:rPr>
      </w:pPr>
      <w:r w:rsidRPr="00AC7BDD">
        <w:rPr>
          <w:b/>
          <w:bCs/>
        </w:rPr>
        <w:t>Uchazeč popíše, jakým způsobem identifikuje typy území s ohledem na výše uveden</w:t>
      </w:r>
      <w:r w:rsidR="009065E6">
        <w:rPr>
          <w:b/>
          <w:bCs/>
        </w:rPr>
        <w:t>ou typologii.</w:t>
      </w:r>
      <w:r w:rsidR="00AC7BDD" w:rsidRPr="00AC7BDD">
        <w:rPr>
          <w:b/>
          <w:bCs/>
        </w:rPr>
        <w:t xml:space="preserve"> </w:t>
      </w:r>
      <w:r w:rsidR="009065E6">
        <w:rPr>
          <w:b/>
          <w:bCs/>
        </w:rPr>
        <w:t xml:space="preserve">Typy území definované zadavatelem slouží jako rámec pro pochopení účelu vymezování typů cest a mohou být v průběhu řešení modifikovány. </w:t>
      </w:r>
      <w:r w:rsidR="00AC7BDD" w:rsidRPr="00AC7BDD">
        <w:rPr>
          <w:b/>
          <w:bCs/>
        </w:rPr>
        <w:t>Uchazeč uvede možná úskalí, která jsou spojena s výše nastaveným definováním typů území s ohledem na technické limity sítě</w:t>
      </w:r>
      <w:r w:rsidR="00AC7BDD">
        <w:rPr>
          <w:b/>
          <w:bCs/>
        </w:rPr>
        <w:t>, případně navrhne alternativní metodiku řešení</w:t>
      </w:r>
      <w:r w:rsidR="00AC7BDD" w:rsidRPr="00AC7BDD">
        <w:rPr>
          <w:b/>
          <w:bCs/>
        </w:rPr>
        <w:t>.</w:t>
      </w:r>
    </w:p>
    <w:p w14:paraId="733FBC39" w14:textId="77777777" w:rsidR="002B4D79" w:rsidRDefault="002B4D79" w:rsidP="000401B4">
      <w:pPr>
        <w:pStyle w:val="Odstavecseseznamem"/>
        <w:numPr>
          <w:ilvl w:val="0"/>
          <w:numId w:val="9"/>
        </w:numPr>
        <w:spacing w:after="120"/>
        <w:ind w:left="357" w:hanging="357"/>
        <w:jc w:val="both"/>
        <w:rPr>
          <w:b/>
          <w:bCs/>
        </w:rPr>
      </w:pPr>
      <w:r>
        <w:rPr>
          <w:b/>
          <w:bCs/>
        </w:rPr>
        <w:t>Typologie cest</w:t>
      </w:r>
    </w:p>
    <w:p w14:paraId="6F24C2D3" w14:textId="77777777" w:rsidR="002B4D79" w:rsidRDefault="002B4D79" w:rsidP="00F43C5C">
      <w:pPr>
        <w:spacing w:after="120"/>
        <w:jc w:val="both"/>
        <w:rPr>
          <w:bCs/>
        </w:rPr>
      </w:pPr>
      <w:r w:rsidRPr="009A0530">
        <w:rPr>
          <w:bCs/>
        </w:rPr>
        <w:t xml:space="preserve">Typ </w:t>
      </w:r>
      <w:r>
        <w:rPr>
          <w:bCs/>
        </w:rPr>
        <w:t>konkrétních cest vychází z typologie území. Typ cesty je definován typem cílového území. Bude pracováno s následujícími typy cest, které budou přiděleny konkrétní osobě:</w:t>
      </w:r>
    </w:p>
    <w:p w14:paraId="70531D0C" w14:textId="77777777" w:rsidR="002B4D79" w:rsidRDefault="002B4D79" w:rsidP="00F43C5C">
      <w:pPr>
        <w:spacing w:after="120"/>
        <w:jc w:val="both"/>
        <w:rPr>
          <w:bCs/>
        </w:rPr>
      </w:pPr>
      <w:r w:rsidRPr="009A0530">
        <w:rPr>
          <w:bCs/>
          <w:u w:val="single"/>
        </w:rPr>
        <w:t>Cesta do práce/školy</w:t>
      </w:r>
      <w:r>
        <w:rPr>
          <w:bCs/>
        </w:rPr>
        <w:t xml:space="preserve"> – cesta do území PŠ, přičemž zdrojové území není definováno (převážně se bude asi jednat o typ území B).</w:t>
      </w:r>
    </w:p>
    <w:p w14:paraId="3F8E5410" w14:textId="77777777" w:rsidR="002B4D79" w:rsidRDefault="002B4D79" w:rsidP="00F43C5C">
      <w:pPr>
        <w:spacing w:after="120"/>
        <w:jc w:val="both"/>
        <w:rPr>
          <w:bCs/>
        </w:rPr>
      </w:pPr>
      <w:r w:rsidRPr="009A0530">
        <w:rPr>
          <w:bCs/>
          <w:u w:val="single"/>
        </w:rPr>
        <w:lastRenderedPageBreak/>
        <w:t>Pravidelná návštěva</w:t>
      </w:r>
      <w:r>
        <w:rPr>
          <w:bCs/>
        </w:rPr>
        <w:t xml:space="preserve"> – cesta do území PN, přičemž zdrojové území není definováno (často výchozím typem území může být B i PŠ).</w:t>
      </w:r>
    </w:p>
    <w:p w14:paraId="523BC9A5" w14:textId="77777777" w:rsidR="002B4D79" w:rsidRDefault="002B4D79" w:rsidP="00F43C5C">
      <w:pPr>
        <w:spacing w:after="120"/>
        <w:jc w:val="both"/>
        <w:rPr>
          <w:bCs/>
        </w:rPr>
      </w:pPr>
      <w:r w:rsidRPr="009A0530">
        <w:rPr>
          <w:bCs/>
          <w:u w:val="single"/>
        </w:rPr>
        <w:t>Nepravidelná návštěva</w:t>
      </w:r>
      <w:r>
        <w:rPr>
          <w:bCs/>
        </w:rPr>
        <w:t xml:space="preserve"> – cesta do území NN, přičemž zdrojové území není definováno.</w:t>
      </w:r>
    </w:p>
    <w:p w14:paraId="5AB3A4FE" w14:textId="77777777" w:rsidR="002B4D79" w:rsidRDefault="002B4D79" w:rsidP="00F43C5C">
      <w:pPr>
        <w:spacing w:after="120"/>
        <w:jc w:val="both"/>
        <w:rPr>
          <w:bCs/>
        </w:rPr>
      </w:pPr>
      <w:r w:rsidRPr="009A0530">
        <w:rPr>
          <w:bCs/>
          <w:u w:val="single"/>
        </w:rPr>
        <w:t>Cesta domů</w:t>
      </w:r>
      <w:r>
        <w:rPr>
          <w:bCs/>
        </w:rPr>
        <w:t xml:space="preserve"> – cesta do území B,</w:t>
      </w:r>
      <w:r w:rsidRPr="00382A5A">
        <w:rPr>
          <w:bCs/>
        </w:rPr>
        <w:t xml:space="preserve"> </w:t>
      </w:r>
      <w:r>
        <w:rPr>
          <w:bCs/>
        </w:rPr>
        <w:t>přičemž zdrojové území není definováno.</w:t>
      </w:r>
    </w:p>
    <w:p w14:paraId="1070461F" w14:textId="67139F01" w:rsidR="00F43C5C" w:rsidRPr="00AC7BDD" w:rsidRDefault="00AC7BDD" w:rsidP="008D6724">
      <w:pPr>
        <w:spacing w:after="240"/>
        <w:jc w:val="both"/>
        <w:rPr>
          <w:b/>
          <w:bCs/>
        </w:rPr>
      </w:pPr>
      <w:r w:rsidRPr="00AC7BDD">
        <w:rPr>
          <w:b/>
          <w:bCs/>
        </w:rPr>
        <w:t>Uchazeč popíše, jakým způsobem jsou typy cest navázány na typy území. Uchazeč uvede možná úskalí výše nastavených požadavků, případně navrhne alternativní metodu zachycení typů cest.</w:t>
      </w:r>
    </w:p>
    <w:p w14:paraId="40B09615" w14:textId="77777777" w:rsidR="002B4D79" w:rsidRDefault="002B4D79" w:rsidP="000401B4">
      <w:pPr>
        <w:pStyle w:val="Odstavecseseznamem"/>
        <w:numPr>
          <w:ilvl w:val="0"/>
          <w:numId w:val="9"/>
        </w:numPr>
        <w:spacing w:after="120"/>
        <w:ind w:left="357" w:hanging="357"/>
        <w:jc w:val="both"/>
        <w:rPr>
          <w:b/>
          <w:bCs/>
        </w:rPr>
      </w:pPr>
      <w:r>
        <w:rPr>
          <w:b/>
          <w:bCs/>
        </w:rPr>
        <w:t>Přepočet prostorové identifikace</w:t>
      </w:r>
    </w:p>
    <w:p w14:paraId="517A888E" w14:textId="77777777" w:rsidR="002B4D79" w:rsidRDefault="002B4D79" w:rsidP="00F43C5C">
      <w:pPr>
        <w:spacing w:after="120"/>
        <w:jc w:val="both"/>
      </w:pPr>
      <w:r>
        <w:t>Jednotlivé buňky sítě (</w:t>
      </w:r>
      <w:proofErr w:type="spellStart"/>
      <w:r>
        <w:t>best</w:t>
      </w:r>
      <w:proofErr w:type="spellEnd"/>
      <w:r>
        <w:t xml:space="preserve"> </w:t>
      </w:r>
      <w:proofErr w:type="spellStart"/>
      <w:r>
        <w:t>service</w:t>
      </w:r>
      <w:proofErr w:type="spellEnd"/>
      <w:r>
        <w:t xml:space="preserve"> area) se prostorovým vymezením neshodují s administrativními jednotkami. Uchazeč </w:t>
      </w:r>
      <w:r w:rsidRPr="004B4A1D">
        <w:t>musí jasně popsat, jakým způsobem propojuje uživatele registrované v území definovaném pokrytím sign</w:t>
      </w:r>
      <w:r>
        <w:t>álem příslušné BTS</w:t>
      </w:r>
      <w:r w:rsidRPr="004B4A1D">
        <w:t xml:space="preserve"> do admin</w:t>
      </w:r>
      <w:r>
        <w:t>istrativního území</w:t>
      </w:r>
      <w:r w:rsidRPr="004B4A1D">
        <w:t>. Tento krok je podstatný zejména v případech, kdy jedna BTS pokrývá signálem několik</w:t>
      </w:r>
      <w:r>
        <w:t xml:space="preserve"> </w:t>
      </w:r>
      <w:r w:rsidRPr="004B4A1D">
        <w:t>administrativně vymezených územních jednotek nebo pokrývá nekompaktní území</w:t>
      </w:r>
      <w:r>
        <w:t>.</w:t>
      </w:r>
    </w:p>
    <w:p w14:paraId="64D5A320" w14:textId="77777777" w:rsidR="002B4D79" w:rsidRDefault="002B4D79" w:rsidP="00F43C5C">
      <w:pPr>
        <w:spacing w:after="120"/>
        <w:jc w:val="both"/>
      </w:pPr>
      <w:r>
        <w:t>Přepočet prostorové identifikace do příslušných administrativních jednotek by tak měl využívat systém kvótního rozdělení pro jednotlivé typy cest dle statistických dat o administrativních jednotkách:</w:t>
      </w:r>
    </w:p>
    <w:p w14:paraId="72DFDFE8" w14:textId="092474CB" w:rsidR="002B4D79" w:rsidRDefault="00F43C5C" w:rsidP="00F43C5C">
      <w:pPr>
        <w:spacing w:after="120"/>
        <w:jc w:val="both"/>
      </w:pPr>
      <w:r>
        <w:t>i</w:t>
      </w:r>
      <w:r w:rsidR="002B4D79">
        <w:t xml:space="preserve">) Pokud je administrativní jednotka rozdělena do několika míst pobytu dle Cell-ID, statistický údaj (např. počet obyvatel) je rozpočítán poměrově dle podílu plochy částí administrativní jednotky spadajících do jednotlivých Cell-ID. </w:t>
      </w:r>
    </w:p>
    <w:p w14:paraId="119DCCF5" w14:textId="77777777" w:rsidR="002B4D79" w:rsidRDefault="002B4D79" w:rsidP="00F43C5C">
      <w:pPr>
        <w:spacing w:after="120"/>
        <w:ind w:left="708"/>
        <w:jc w:val="both"/>
      </w:pPr>
      <w:r>
        <w:t xml:space="preserve">Příklad: Pokud je administrativní jednotka s počtem obyvatel 100 pokryta 2 Cell-ID, a to v případě jedné Cell-ID z 30 % a druhé ze 70 %, rozpočte se počet obyvatel na 30 a 70 osob. Obě Cell ID mohou navíc pokrývat území jiných administrativních jednotek. Z toho důvodu se příslušných 30, resp. 70, osob načte pouze do části daných Cell-ID. Tímto způsobem se zároveň ve výsledku získá počet osob pro části jednotlivých Cell-ID (rozsekaných dle příslušnosti k administrativní jednotce), který je následně relativizován (%) vůči všem částem příslušného Cell-ID. </w:t>
      </w:r>
    </w:p>
    <w:p w14:paraId="6DCC8847" w14:textId="03C7D171" w:rsidR="002B4D79" w:rsidRDefault="00F43C5C" w:rsidP="00F43C5C">
      <w:pPr>
        <w:spacing w:after="120"/>
        <w:jc w:val="both"/>
      </w:pPr>
      <w:proofErr w:type="spellStart"/>
      <w:r>
        <w:t>ii</w:t>
      </w:r>
      <w:proofErr w:type="spellEnd"/>
      <w:r w:rsidR="002B4D79">
        <w:t>) V další fázi probíhá ideálně přepočet ze Cell-ID na administrativní jednotku tak, že veškerá místa pobytu – tedy cíle cest – pro danou Cell-ID v daný den jsou rozdělena proporcionálně tak, aby odpovídala podílům osob v částech Cell-ID. Každá část Cell-ID již dle předchozího kroku náleží konkrétní administrativní jednotce a k ní bude hodnota přičtena. Zároveň je třeba dbát na to, aby veškerá místa pobytu byla rozpočtena i s ohledem na rovnoměrnou distribuci dle zdrojových míst. Tedy alokují se shodně proporcionálně jak místa pobytu se zdrojovou oblastí A, tak místa pobytu se zdrojovou oblastí B.</w:t>
      </w:r>
    </w:p>
    <w:p w14:paraId="5A94EB40" w14:textId="77777777" w:rsidR="002B4D79" w:rsidRDefault="002B4D79" w:rsidP="00F43C5C">
      <w:pPr>
        <w:spacing w:after="120"/>
        <w:ind w:left="705"/>
        <w:jc w:val="both"/>
      </w:pPr>
      <w:r>
        <w:t>Příklad: Cell-ID náleží do 3 administrativních jednotek, přičemž části mají dle předchozího kroku přiřazeno 50, 70, a 200 osob. Absolutní hodnoty se relativizují na 16 %, 22 % a 62 %. V daný den je pro Cell-ID naměřeno 400 míst pobytu,</w:t>
      </w:r>
      <w:r w:rsidRPr="00581D91">
        <w:t xml:space="preserve"> </w:t>
      </w:r>
      <w:r>
        <w:t xml:space="preserve">přičemž je známo, že 300 míst pobytu vychází z oblasti A </w:t>
      </w:r>
      <w:proofErr w:type="spellStart"/>
      <w:r>
        <w:t>a</w:t>
      </w:r>
      <w:proofErr w:type="spellEnd"/>
      <w:r>
        <w:t xml:space="preserve"> 100 míst pobytu z oblasti B. 300 míst pobytu se do jednotlivých částí rozpočte dle podílů – 48 osob, 66 osob a 186 osob; stejně tak 100 míst pobytu se</w:t>
      </w:r>
      <w:r w:rsidRPr="00581D91">
        <w:t xml:space="preserve"> </w:t>
      </w:r>
      <w:r>
        <w:t>do jednotlivých částí rozpočte dle podílů – 16 osob, 22 osob a 62 osob.</w:t>
      </w:r>
    </w:p>
    <w:p w14:paraId="1E11DFFA" w14:textId="77777777" w:rsidR="002B4D79" w:rsidRDefault="002B4D79" w:rsidP="00F43C5C">
      <w:pPr>
        <w:spacing w:after="120"/>
        <w:jc w:val="both"/>
      </w:pPr>
      <w:r>
        <w:t xml:space="preserve">Pakliže je definováno místo pobytu jako místo, kde daná osoba stráví </w:t>
      </w:r>
      <w:r w:rsidRPr="009065E6">
        <w:t>alespoň 30 minut,</w:t>
      </w:r>
      <w:r>
        <w:t xml:space="preserve"> nejedná se logicky pouze o místo bydliště, ale i o místo výkonu určité aktivity (práce, nákup, sport, aj.), viz typologie území popsaná výše. Alokace místa pobytu dle Cell-ID (místo vzniku transakce) do administrativních jednotek by tak neměla vycházet pouze z údaje o počtu bydlících, ale měla </w:t>
      </w:r>
      <w:r>
        <w:lastRenderedPageBreak/>
        <w:t xml:space="preserve">by reflektovat další charakteristiky území, které se prolíná s příslušnou buňkou sítě (např. </w:t>
      </w:r>
      <w:proofErr w:type="spellStart"/>
      <w:r>
        <w:t>land</w:t>
      </w:r>
      <w:proofErr w:type="spellEnd"/>
      <w:r>
        <w:t xml:space="preserve"> use, počet </w:t>
      </w:r>
      <w:proofErr w:type="gramStart"/>
      <w:r>
        <w:t>pracujících,</w:t>
      </w:r>
      <w:proofErr w:type="gramEnd"/>
      <w:r>
        <w:t xml:space="preserve"> apod.). </w:t>
      </w:r>
    </w:p>
    <w:p w14:paraId="2ECA389D" w14:textId="3AE221E7" w:rsidR="002B4D79" w:rsidRDefault="00AC7BDD" w:rsidP="00F43C5C">
      <w:pPr>
        <w:spacing w:after="120"/>
        <w:jc w:val="both"/>
      </w:pPr>
      <w:r>
        <w:t>Výše po</w:t>
      </w:r>
      <w:r w:rsidR="002B4D79">
        <w:t>p</w:t>
      </w:r>
      <w:r>
        <w:t>s</w:t>
      </w:r>
      <w:r w:rsidR="002B4D79">
        <w:t>aný systém přepočtu prostorové identifikace by tak měl být aplikován pro jednotlivé typy cest zvlášť s využitím odlišných statistických údajů</w:t>
      </w:r>
      <w:r w:rsidR="00076533">
        <w:t>, např.</w:t>
      </w:r>
      <w:r w:rsidR="002B4D79">
        <w:t>:</w:t>
      </w:r>
    </w:p>
    <w:p w14:paraId="1EEA9AC1" w14:textId="77777777" w:rsidR="002B4D79" w:rsidRDefault="002B4D79" w:rsidP="00F43C5C">
      <w:pPr>
        <w:spacing w:after="120"/>
        <w:jc w:val="both"/>
        <w:rPr>
          <w:bCs/>
        </w:rPr>
      </w:pPr>
      <w:r w:rsidRPr="001F54C0">
        <w:rPr>
          <w:bCs/>
          <w:u w:val="single"/>
        </w:rPr>
        <w:t>Cesta do práce/školy</w:t>
      </w:r>
      <w:r>
        <w:rPr>
          <w:bCs/>
        </w:rPr>
        <w:t xml:space="preserve"> – využívá údaj o počtu pracujících a počtu studujících/žáků (suma obou) pro každou administrativní jednotku.</w:t>
      </w:r>
    </w:p>
    <w:p w14:paraId="293FAF0A" w14:textId="77777777" w:rsidR="002B4D79" w:rsidRPr="00076533" w:rsidRDefault="002B4D79" w:rsidP="00F43C5C">
      <w:pPr>
        <w:spacing w:after="120"/>
        <w:jc w:val="both"/>
        <w:rPr>
          <w:bCs/>
        </w:rPr>
      </w:pPr>
      <w:r w:rsidRPr="001F54C0">
        <w:rPr>
          <w:bCs/>
          <w:u w:val="single"/>
        </w:rPr>
        <w:t>Pravidelná návštěva</w:t>
      </w:r>
      <w:r>
        <w:rPr>
          <w:bCs/>
        </w:rPr>
        <w:t xml:space="preserve"> – využívá údaj o hrubé podlažní ploše stavebních objektů </w:t>
      </w:r>
      <w:r w:rsidRPr="00076533">
        <w:rPr>
          <w:bCs/>
        </w:rPr>
        <w:t>(vyjma bydlení) pro každou administrativní jednotku (hrubá podlažní plocha bude rozpočtena a relativizována analogicky k počtu osob).</w:t>
      </w:r>
    </w:p>
    <w:p w14:paraId="0B2ACCB5" w14:textId="77777777" w:rsidR="002B4D79" w:rsidRDefault="002B4D79" w:rsidP="00F43C5C">
      <w:pPr>
        <w:spacing w:after="120"/>
        <w:jc w:val="both"/>
        <w:rPr>
          <w:bCs/>
        </w:rPr>
      </w:pPr>
      <w:r w:rsidRPr="00076533">
        <w:rPr>
          <w:bCs/>
          <w:u w:val="single"/>
        </w:rPr>
        <w:t>Nepravidelná návštěva</w:t>
      </w:r>
      <w:r w:rsidRPr="00076533">
        <w:rPr>
          <w:bCs/>
        </w:rPr>
        <w:t xml:space="preserve"> – využívá údaj o hrubé podlažní ploše stavebních objektů (vyjma bydlení) pro každou administrativní jednotku (hrubá podlažní plocha bude rozpočtena</w:t>
      </w:r>
      <w:r>
        <w:rPr>
          <w:bCs/>
        </w:rPr>
        <w:t xml:space="preserve"> a relativizována analogicky k počtu osob)</w:t>
      </w:r>
    </w:p>
    <w:p w14:paraId="03FBE678" w14:textId="77777777" w:rsidR="002B4D79" w:rsidRDefault="002B4D79" w:rsidP="00F43C5C">
      <w:pPr>
        <w:spacing w:after="120"/>
        <w:jc w:val="both"/>
        <w:rPr>
          <w:bCs/>
        </w:rPr>
      </w:pPr>
      <w:r w:rsidRPr="001F54C0">
        <w:rPr>
          <w:bCs/>
          <w:u w:val="single"/>
        </w:rPr>
        <w:t>Cesta domů</w:t>
      </w:r>
      <w:r>
        <w:rPr>
          <w:bCs/>
        </w:rPr>
        <w:t xml:space="preserve"> – využívá údaj o počtu bydlících pro každou administrativní jednotku.</w:t>
      </w:r>
    </w:p>
    <w:p w14:paraId="71C52B3C" w14:textId="77777777" w:rsidR="002B4D79" w:rsidRDefault="002B4D79" w:rsidP="00F43C5C">
      <w:pPr>
        <w:spacing w:after="120"/>
        <w:jc w:val="both"/>
      </w:pPr>
      <w:r>
        <w:t>Zadavatel danými statistickými daty disponuje a pro účely zakázky je zpracovateli poskytne.</w:t>
      </w:r>
    </w:p>
    <w:p w14:paraId="48983A09" w14:textId="6BED3A39" w:rsidR="00AC7BDD" w:rsidRDefault="00AC7BDD" w:rsidP="008D6724">
      <w:pPr>
        <w:spacing w:after="240"/>
        <w:jc w:val="both"/>
      </w:pPr>
      <w:r w:rsidRPr="008D6724">
        <w:rPr>
          <w:b/>
        </w:rPr>
        <w:t>Uchazeč popíše, jak je postupováno v případě přepočtu prostorové identifikace. Uchazeč uvede, jakým způsobem se vyrovnává s přepočtem cest, jejichž cílové místo pobytu se nerovná bydlišti daného uživatele</w:t>
      </w:r>
      <w:r w:rsidR="008D6724" w:rsidRPr="008D6724">
        <w:rPr>
          <w:b/>
        </w:rPr>
        <w:t>.</w:t>
      </w:r>
      <w:r w:rsidRPr="008D6724">
        <w:rPr>
          <w:b/>
        </w:rPr>
        <w:t xml:space="preserve"> </w:t>
      </w:r>
      <w:r w:rsidR="008D6724" w:rsidRPr="008D6724">
        <w:rPr>
          <w:b/>
        </w:rPr>
        <w:t>T</w:t>
      </w:r>
      <w:r w:rsidRPr="008D6724">
        <w:rPr>
          <w:b/>
        </w:rPr>
        <w:t>zn.</w:t>
      </w:r>
      <w:r w:rsidR="008D6724" w:rsidRPr="008D6724">
        <w:rPr>
          <w:b/>
        </w:rPr>
        <w:t>,</w:t>
      </w:r>
      <w:r w:rsidRPr="008D6724">
        <w:rPr>
          <w:b/>
        </w:rPr>
        <w:t xml:space="preserve"> </w:t>
      </w:r>
      <w:r w:rsidR="008D6724" w:rsidRPr="008D6724">
        <w:rPr>
          <w:b/>
        </w:rPr>
        <w:t>jaká další data kromě údaje o počtu rezidentů v administrativních jednotkách uchazeč může použít pro přepočet cest (nehledě na jejich dostupnost – zadavatel disponuje širokou škálou dat, které může sdílet) a jakým způsobem by taková data využíval.</w:t>
      </w:r>
    </w:p>
    <w:p w14:paraId="34188BFE" w14:textId="77777777" w:rsidR="002B4D79" w:rsidRDefault="002B4D79" w:rsidP="000401B4">
      <w:pPr>
        <w:pStyle w:val="Odstavecseseznamem"/>
        <w:numPr>
          <w:ilvl w:val="0"/>
          <w:numId w:val="9"/>
        </w:numPr>
        <w:spacing w:after="120"/>
        <w:ind w:left="357" w:hanging="357"/>
        <w:jc w:val="both"/>
        <w:rPr>
          <w:b/>
          <w:bCs/>
        </w:rPr>
      </w:pPr>
      <w:r>
        <w:rPr>
          <w:b/>
          <w:bCs/>
        </w:rPr>
        <w:t>Přepočet na celou populaci</w:t>
      </w:r>
    </w:p>
    <w:p w14:paraId="2CBF5808" w14:textId="77777777" w:rsidR="002B4D79" w:rsidRDefault="002B4D79" w:rsidP="00F43C5C">
      <w:pPr>
        <w:spacing w:after="120"/>
        <w:jc w:val="both"/>
        <w:rPr>
          <w:bCs/>
        </w:rPr>
      </w:pPr>
      <w:r>
        <w:rPr>
          <w:bCs/>
        </w:rPr>
        <w:t>Výsledná data je nutné</w:t>
      </w:r>
      <w:r w:rsidRPr="001F54C0">
        <w:rPr>
          <w:bCs/>
        </w:rPr>
        <w:t xml:space="preserve"> zobec</w:t>
      </w:r>
      <w:r>
        <w:rPr>
          <w:bCs/>
        </w:rPr>
        <w:t xml:space="preserve">nit </w:t>
      </w:r>
      <w:r w:rsidRPr="001F54C0">
        <w:rPr>
          <w:bCs/>
        </w:rPr>
        <w:t xml:space="preserve">na </w:t>
      </w:r>
      <w:r>
        <w:rPr>
          <w:bCs/>
        </w:rPr>
        <w:t>celkovou populaci. Uchazeč</w:t>
      </w:r>
      <w:r w:rsidRPr="001F54C0">
        <w:rPr>
          <w:bCs/>
        </w:rPr>
        <w:t xml:space="preserve"> tedy převádí </w:t>
      </w:r>
      <w:r>
        <w:rPr>
          <w:bCs/>
        </w:rPr>
        <w:t xml:space="preserve">(kalibruje) </w:t>
      </w:r>
      <w:r w:rsidRPr="001F54C0">
        <w:rPr>
          <w:bCs/>
        </w:rPr>
        <w:t>údaje o počtech u</w:t>
      </w:r>
      <w:r>
        <w:rPr>
          <w:bCs/>
        </w:rPr>
        <w:t>živatelů v rámci jeho sítě na počet obyvatel.</w:t>
      </w:r>
    </w:p>
    <w:p w14:paraId="3407925B" w14:textId="21866B07" w:rsidR="00E07C68" w:rsidRPr="00E07C68" w:rsidRDefault="002B4D79" w:rsidP="00E07C68">
      <w:pPr>
        <w:spacing w:after="240"/>
        <w:jc w:val="both"/>
        <w:rPr>
          <w:b/>
        </w:rPr>
      </w:pPr>
      <w:r w:rsidRPr="008D6724">
        <w:rPr>
          <w:b/>
          <w:bCs/>
        </w:rPr>
        <w:t xml:space="preserve">Uchazeč </w:t>
      </w:r>
      <w:r w:rsidR="00E07C68">
        <w:rPr>
          <w:b/>
          <w:bCs/>
        </w:rPr>
        <w:t xml:space="preserve">popíše </w:t>
      </w:r>
      <w:r w:rsidRPr="008D6724">
        <w:rPr>
          <w:b/>
          <w:bCs/>
        </w:rPr>
        <w:t xml:space="preserve">zadavateli způsob, jakým odhadnul podíl uživatelů v populaci a jak v takovém případě pracoval s jednotlivými skupinami uživatelů (obyvatelstvo bydlící, </w:t>
      </w:r>
      <w:proofErr w:type="gramStart"/>
      <w:r w:rsidRPr="008D6724">
        <w:rPr>
          <w:b/>
          <w:bCs/>
        </w:rPr>
        <w:t>dojíždějící,</w:t>
      </w:r>
      <w:proofErr w:type="gramEnd"/>
      <w:r w:rsidRPr="008D6724">
        <w:rPr>
          <w:b/>
          <w:bCs/>
        </w:rPr>
        <w:t xml:space="preserve"> apod.).</w:t>
      </w:r>
      <w:r w:rsidR="00E07C68" w:rsidRPr="00E07C68">
        <w:rPr>
          <w:b/>
          <w:bCs/>
        </w:rPr>
        <w:t xml:space="preserve"> Uchazeč dodá popis případných statisticky významných odchylek zastoupení daného operátora od náhodného rozdělení, které může mít dopad na vypovídající hodnotu údajů v různých územních jednotkách, např. vyšší podíl mezi studenty – university, firemní síť – vybrané </w:t>
      </w:r>
      <w:proofErr w:type="gramStart"/>
      <w:r w:rsidR="00E07C68" w:rsidRPr="00E07C68">
        <w:rPr>
          <w:b/>
          <w:bCs/>
        </w:rPr>
        <w:t>areály,</w:t>
      </w:r>
      <w:proofErr w:type="gramEnd"/>
      <w:r w:rsidR="00E07C68" w:rsidRPr="00E07C68">
        <w:rPr>
          <w:b/>
          <w:bCs/>
        </w:rPr>
        <w:t xml:space="preserve"> apod.</w:t>
      </w:r>
      <w:r w:rsidR="00E07C68" w:rsidRPr="00E07C68">
        <w:rPr>
          <w:b/>
        </w:rPr>
        <w:t xml:space="preserve"> </w:t>
      </w:r>
    </w:p>
    <w:p w14:paraId="43AF550B" w14:textId="0D80D875" w:rsidR="00E07C68" w:rsidRDefault="00E07C68" w:rsidP="000401B4">
      <w:pPr>
        <w:pStyle w:val="Odstavecseseznamem"/>
        <w:numPr>
          <w:ilvl w:val="0"/>
          <w:numId w:val="9"/>
        </w:numPr>
        <w:spacing w:after="120"/>
        <w:ind w:left="357" w:hanging="357"/>
        <w:jc w:val="both"/>
        <w:rPr>
          <w:b/>
          <w:bCs/>
        </w:rPr>
      </w:pPr>
      <w:r>
        <w:rPr>
          <w:b/>
          <w:bCs/>
        </w:rPr>
        <w:t>Právní rámec ochrany osobních údajů</w:t>
      </w:r>
    </w:p>
    <w:p w14:paraId="136C7D62" w14:textId="77777777" w:rsidR="00E07C68" w:rsidRPr="00E07C68" w:rsidRDefault="00E07C68" w:rsidP="00E07C68">
      <w:pPr>
        <w:spacing w:after="120"/>
        <w:jc w:val="both"/>
        <w:rPr>
          <w:bCs/>
        </w:rPr>
      </w:pPr>
      <w:r w:rsidRPr="00E07C68">
        <w:rPr>
          <w:bCs/>
        </w:rPr>
        <w:t xml:space="preserve">Vzhledem k právnímu rámci ochrany osobních údajů v evropském prostoru jsme si vědomi možné „ztráty dat“, respektive jejich anulaci či nezapočítání při vzorku např. </w:t>
      </w:r>
      <w:proofErr w:type="gramStart"/>
      <w:r w:rsidRPr="00E07C68">
        <w:rPr>
          <w:bCs/>
        </w:rPr>
        <w:t>n&lt;</w:t>
      </w:r>
      <w:proofErr w:type="gramEnd"/>
      <w:r w:rsidRPr="00E07C68">
        <w:rPr>
          <w:bCs/>
        </w:rPr>
        <w:t xml:space="preserve">10 (n&lt;5). Pokud by tedy tato situace nastala při navrhované </w:t>
      </w:r>
      <w:proofErr w:type="spellStart"/>
      <w:r w:rsidRPr="00E07C68">
        <w:rPr>
          <w:bCs/>
        </w:rPr>
        <w:t>granularitě</w:t>
      </w:r>
      <w:proofErr w:type="spellEnd"/>
      <w:r w:rsidRPr="00E07C68">
        <w:rPr>
          <w:bCs/>
        </w:rPr>
        <w:t xml:space="preserve"> datové matice, je možné některé jednotky (územní či časové) agregovat tak, aby ke ztrátě dat nedošlo. </w:t>
      </w:r>
    </w:p>
    <w:p w14:paraId="4412D572" w14:textId="77777777" w:rsidR="00E07C68" w:rsidRPr="00E07C68" w:rsidRDefault="00E07C68" w:rsidP="00E07C68">
      <w:pPr>
        <w:spacing w:after="240"/>
        <w:jc w:val="both"/>
        <w:rPr>
          <w:b/>
          <w:bCs/>
        </w:rPr>
      </w:pPr>
      <w:r w:rsidRPr="00E07C68">
        <w:rPr>
          <w:b/>
          <w:bCs/>
        </w:rPr>
        <w:t>Uchazeč navrhne takové řešení, které se s právní ochranou osobních údajů vyrovná.</w:t>
      </w:r>
    </w:p>
    <w:p w14:paraId="0FA52E93" w14:textId="77777777" w:rsidR="002B4D79" w:rsidRDefault="002B4D79" w:rsidP="000401B4">
      <w:pPr>
        <w:pStyle w:val="Odstavecseseznamem"/>
        <w:numPr>
          <w:ilvl w:val="0"/>
          <w:numId w:val="9"/>
        </w:numPr>
        <w:spacing w:after="120"/>
        <w:ind w:left="357" w:hanging="357"/>
        <w:jc w:val="both"/>
        <w:rPr>
          <w:b/>
          <w:bCs/>
        </w:rPr>
      </w:pPr>
      <w:r>
        <w:rPr>
          <w:b/>
          <w:bCs/>
        </w:rPr>
        <w:t>Struktura výstupů</w:t>
      </w:r>
    </w:p>
    <w:p w14:paraId="4EF882EF" w14:textId="77777777" w:rsidR="002B4D79" w:rsidRPr="009A0530" w:rsidRDefault="002B4D79" w:rsidP="00F43C5C">
      <w:pPr>
        <w:spacing w:after="120"/>
        <w:jc w:val="both"/>
        <w:rPr>
          <w:u w:val="single"/>
        </w:rPr>
      </w:pPr>
      <w:r w:rsidRPr="009A0530">
        <w:rPr>
          <w:u w:val="single"/>
        </w:rPr>
        <w:t>Interní data uchazeče</w:t>
      </w:r>
    </w:p>
    <w:p w14:paraId="2EC3FA3E" w14:textId="77777777" w:rsidR="002B4D79" w:rsidRDefault="002B4D79" w:rsidP="00F43C5C">
      <w:pPr>
        <w:spacing w:after="120"/>
        <w:jc w:val="both"/>
      </w:pPr>
      <w:r>
        <w:t xml:space="preserve">Výsledkem aplikovaného postupu (popsaného výše) je identifikace cest, zařazení každé cesty do daného typu a přepočet cest do příslušných administrativních jednotek, a to vše v rámci sledovaného období. </w:t>
      </w:r>
    </w:p>
    <w:p w14:paraId="2F63FA2F" w14:textId="77777777" w:rsidR="002B4D79" w:rsidRDefault="002B4D79" w:rsidP="00F43C5C">
      <w:pPr>
        <w:spacing w:after="120"/>
        <w:jc w:val="both"/>
      </w:pPr>
      <w:r>
        <w:t xml:space="preserve">Matice tak obsahuje údaje ke každé cestě: </w:t>
      </w:r>
    </w:p>
    <w:p w14:paraId="2981B8DD" w14:textId="77777777" w:rsidR="002B4D79" w:rsidRDefault="002B4D79" w:rsidP="00F43C5C">
      <w:pPr>
        <w:spacing w:after="120"/>
        <w:jc w:val="both"/>
      </w:pPr>
      <w:r>
        <w:lastRenderedPageBreak/>
        <w:t xml:space="preserve">ID zařízení – časový interval cesty (čas startu a čas cíle) – zdrojové území – cílové území – typ cesty </w:t>
      </w:r>
    </w:p>
    <w:p w14:paraId="709DBD51" w14:textId="77777777" w:rsidR="002B4D79" w:rsidRPr="009A0530" w:rsidRDefault="002B4D79" w:rsidP="00F43C5C">
      <w:pPr>
        <w:spacing w:after="120"/>
        <w:jc w:val="both"/>
        <w:rPr>
          <w:u w:val="single"/>
        </w:rPr>
      </w:pPr>
      <w:r w:rsidRPr="009A0530">
        <w:rPr>
          <w:u w:val="single"/>
        </w:rPr>
        <w:t>Data poskytnutá zadavateli:</w:t>
      </w:r>
    </w:p>
    <w:p w14:paraId="6E74ADC1" w14:textId="77777777" w:rsidR="002B4D79" w:rsidRDefault="002B4D79" w:rsidP="00F43C5C">
      <w:pPr>
        <w:spacing w:after="120"/>
        <w:jc w:val="both"/>
      </w:pPr>
      <w:r>
        <w:t>Finální výstup poskytnutý zadavateli vychází z interních dat uchazeče, přičemž cesty daného typu jsou agregovány dle stejného časového intervalu a zdrojových a cílových míst. Odpadá tedy informace o ID zařízení.</w:t>
      </w:r>
    </w:p>
    <w:p w14:paraId="0D3AC385" w14:textId="77777777" w:rsidR="002B4D79" w:rsidRDefault="002B4D79" w:rsidP="00F43C5C">
      <w:pPr>
        <w:spacing w:after="120"/>
        <w:jc w:val="both"/>
      </w:pPr>
      <w:r>
        <w:t xml:space="preserve">Matice tak obsahuje údaje ke každému typu cesty: </w:t>
      </w:r>
    </w:p>
    <w:p w14:paraId="226B8947" w14:textId="77777777" w:rsidR="002B4D79" w:rsidRDefault="002B4D79" w:rsidP="00F43C5C">
      <w:pPr>
        <w:spacing w:after="120"/>
        <w:jc w:val="both"/>
      </w:pPr>
      <w:r>
        <w:t>Časový interval cesty (čas startu a čas cíle) – zdrojové území – cílové území – typ cesty – počet osob</w:t>
      </w:r>
    </w:p>
    <w:p w14:paraId="127E38F8" w14:textId="24113B6A" w:rsidR="002B4D79" w:rsidRDefault="002B4D79" w:rsidP="00F43C5C">
      <w:pPr>
        <w:spacing w:after="120"/>
        <w:jc w:val="both"/>
      </w:pPr>
      <w:r>
        <w:t>Pro 28 dní (4 týdny) a 4 typy cest jsou vytvořeny matice zdroj</w:t>
      </w:r>
      <w:r w:rsidR="0034248E">
        <w:t>ů</w:t>
      </w:r>
      <w:r>
        <w:t xml:space="preserve"> a cílů, dohromady 112 matic. </w:t>
      </w:r>
    </w:p>
    <w:p w14:paraId="5E93E1DC" w14:textId="59B46ACF" w:rsidR="009065E6" w:rsidRDefault="009065E6" w:rsidP="00F43C5C">
      <w:pPr>
        <w:spacing w:after="120"/>
        <w:jc w:val="both"/>
      </w:pPr>
      <w:r>
        <w:t>V případě ztráty vysokého podílu cest v důsledku limitů spojených s právním rámcem ochrany osobních údajů bude flexibilně řešena úprava parametrů během řešení zakázky.</w:t>
      </w:r>
    </w:p>
    <w:p w14:paraId="618B1C2C" w14:textId="77777777" w:rsidR="002B4D79" w:rsidRDefault="002B4D79" w:rsidP="00F43C5C">
      <w:pPr>
        <w:spacing w:after="120"/>
        <w:jc w:val="both"/>
      </w:pPr>
      <w:r>
        <w:t xml:space="preserve">Příklad: Možná struktura datové matice cest: </w:t>
      </w:r>
    </w:p>
    <w:tbl>
      <w:tblPr>
        <w:tblStyle w:val="Mkatabulky"/>
        <w:tblW w:w="0" w:type="auto"/>
        <w:tblLook w:val="04A0" w:firstRow="1" w:lastRow="0" w:firstColumn="1" w:lastColumn="0" w:noHBand="0" w:noVBand="1"/>
      </w:tblPr>
      <w:tblGrid>
        <w:gridCol w:w="1294"/>
        <w:gridCol w:w="1294"/>
        <w:gridCol w:w="1294"/>
        <w:gridCol w:w="1294"/>
        <w:gridCol w:w="1295"/>
        <w:gridCol w:w="1295"/>
      </w:tblGrid>
      <w:tr w:rsidR="002B4D79" w14:paraId="04090474" w14:textId="77777777" w:rsidTr="002B4D79">
        <w:trPr>
          <w:trHeight w:val="593"/>
        </w:trPr>
        <w:tc>
          <w:tcPr>
            <w:tcW w:w="1294" w:type="dxa"/>
          </w:tcPr>
          <w:p w14:paraId="30C4AE9C" w14:textId="77777777" w:rsidR="002B4D79" w:rsidRPr="005A5D12" w:rsidRDefault="002B4D79" w:rsidP="00F43C5C">
            <w:pPr>
              <w:spacing w:after="120"/>
              <w:jc w:val="both"/>
              <w:rPr>
                <w:rFonts w:ascii="Times New Roman" w:hAnsi="Times New Roman"/>
                <w:sz w:val="22"/>
                <w:szCs w:val="22"/>
              </w:rPr>
            </w:pPr>
            <w:r w:rsidRPr="005A5D12">
              <w:rPr>
                <w:rFonts w:ascii="Times New Roman" w:hAnsi="Times New Roman"/>
                <w:sz w:val="22"/>
                <w:szCs w:val="22"/>
              </w:rPr>
              <w:t>Čas startu</w:t>
            </w:r>
          </w:p>
        </w:tc>
        <w:tc>
          <w:tcPr>
            <w:tcW w:w="1294" w:type="dxa"/>
          </w:tcPr>
          <w:p w14:paraId="046B5C5C" w14:textId="77777777" w:rsidR="002B4D79" w:rsidRPr="005A5D12" w:rsidRDefault="002B4D79" w:rsidP="00F43C5C">
            <w:pPr>
              <w:spacing w:after="120"/>
              <w:jc w:val="both"/>
              <w:rPr>
                <w:rFonts w:ascii="Times New Roman" w:hAnsi="Times New Roman"/>
                <w:sz w:val="22"/>
                <w:szCs w:val="22"/>
              </w:rPr>
            </w:pPr>
            <w:r w:rsidRPr="005A5D12">
              <w:rPr>
                <w:rFonts w:ascii="Times New Roman" w:hAnsi="Times New Roman"/>
                <w:sz w:val="22"/>
                <w:szCs w:val="22"/>
              </w:rPr>
              <w:t>Čas cíle</w:t>
            </w:r>
          </w:p>
        </w:tc>
        <w:tc>
          <w:tcPr>
            <w:tcW w:w="1294" w:type="dxa"/>
          </w:tcPr>
          <w:p w14:paraId="25C2E60D" w14:textId="77777777" w:rsidR="002B4D79" w:rsidRPr="005A5D12" w:rsidRDefault="002B4D79" w:rsidP="00F43C5C">
            <w:pPr>
              <w:spacing w:after="120"/>
              <w:jc w:val="both"/>
              <w:rPr>
                <w:rFonts w:ascii="Times New Roman" w:hAnsi="Times New Roman"/>
                <w:sz w:val="22"/>
                <w:szCs w:val="22"/>
              </w:rPr>
            </w:pPr>
            <w:r w:rsidRPr="005A5D12">
              <w:rPr>
                <w:rFonts w:ascii="Times New Roman" w:hAnsi="Times New Roman"/>
                <w:sz w:val="22"/>
                <w:szCs w:val="22"/>
              </w:rPr>
              <w:t>Zdrojové území</w:t>
            </w:r>
          </w:p>
        </w:tc>
        <w:tc>
          <w:tcPr>
            <w:tcW w:w="1294" w:type="dxa"/>
          </w:tcPr>
          <w:p w14:paraId="41005624" w14:textId="77777777" w:rsidR="002B4D79" w:rsidRPr="005A5D12" w:rsidRDefault="002B4D79" w:rsidP="00F43C5C">
            <w:pPr>
              <w:spacing w:after="120"/>
              <w:jc w:val="both"/>
              <w:rPr>
                <w:rFonts w:ascii="Times New Roman" w:hAnsi="Times New Roman"/>
                <w:sz w:val="22"/>
                <w:szCs w:val="22"/>
              </w:rPr>
            </w:pPr>
            <w:r w:rsidRPr="005A5D12">
              <w:rPr>
                <w:rFonts w:ascii="Times New Roman" w:hAnsi="Times New Roman"/>
                <w:sz w:val="22"/>
                <w:szCs w:val="22"/>
              </w:rPr>
              <w:t>Cílové území</w:t>
            </w:r>
          </w:p>
        </w:tc>
        <w:tc>
          <w:tcPr>
            <w:tcW w:w="1295" w:type="dxa"/>
          </w:tcPr>
          <w:p w14:paraId="44F57F9D" w14:textId="77777777" w:rsidR="002B4D79" w:rsidRPr="005A5D12" w:rsidRDefault="002B4D79" w:rsidP="00F43C5C">
            <w:pPr>
              <w:spacing w:after="120"/>
              <w:jc w:val="both"/>
              <w:rPr>
                <w:rFonts w:ascii="Times New Roman" w:hAnsi="Times New Roman"/>
                <w:sz w:val="22"/>
                <w:szCs w:val="22"/>
              </w:rPr>
            </w:pPr>
            <w:r w:rsidRPr="005A5D12">
              <w:rPr>
                <w:rFonts w:ascii="Times New Roman" w:hAnsi="Times New Roman"/>
                <w:sz w:val="22"/>
                <w:szCs w:val="22"/>
              </w:rPr>
              <w:t>Typ cesty</w:t>
            </w:r>
          </w:p>
        </w:tc>
        <w:tc>
          <w:tcPr>
            <w:tcW w:w="1295" w:type="dxa"/>
          </w:tcPr>
          <w:p w14:paraId="192D9064" w14:textId="77777777" w:rsidR="002B4D79" w:rsidRPr="005A5D12" w:rsidRDefault="002B4D79" w:rsidP="00F43C5C">
            <w:pPr>
              <w:spacing w:after="120"/>
              <w:jc w:val="both"/>
              <w:rPr>
                <w:rFonts w:ascii="Times New Roman" w:hAnsi="Times New Roman"/>
                <w:sz w:val="22"/>
                <w:szCs w:val="22"/>
              </w:rPr>
            </w:pPr>
            <w:r w:rsidRPr="005A5D12">
              <w:rPr>
                <w:rFonts w:ascii="Times New Roman" w:hAnsi="Times New Roman"/>
                <w:sz w:val="22"/>
                <w:szCs w:val="22"/>
              </w:rPr>
              <w:t>Počet osob</w:t>
            </w:r>
          </w:p>
        </w:tc>
      </w:tr>
      <w:tr w:rsidR="002B4D79" w14:paraId="08699C8A" w14:textId="77777777" w:rsidTr="002B4D79">
        <w:tc>
          <w:tcPr>
            <w:tcW w:w="1294" w:type="dxa"/>
          </w:tcPr>
          <w:p w14:paraId="68FC8B7D" w14:textId="77777777" w:rsidR="002B4D79" w:rsidRPr="005A5D12" w:rsidRDefault="002B4D79" w:rsidP="00F43C5C">
            <w:pPr>
              <w:spacing w:after="120"/>
              <w:jc w:val="both"/>
              <w:rPr>
                <w:rFonts w:ascii="Times New Roman" w:hAnsi="Times New Roman"/>
                <w:sz w:val="22"/>
                <w:szCs w:val="22"/>
              </w:rPr>
            </w:pPr>
            <w:r w:rsidRPr="005A5D12">
              <w:rPr>
                <w:rFonts w:ascii="Times New Roman" w:hAnsi="Times New Roman"/>
                <w:sz w:val="22"/>
                <w:szCs w:val="22"/>
              </w:rPr>
              <w:t>7:00-7:30</w:t>
            </w:r>
          </w:p>
        </w:tc>
        <w:tc>
          <w:tcPr>
            <w:tcW w:w="1294" w:type="dxa"/>
          </w:tcPr>
          <w:p w14:paraId="3B8020D6" w14:textId="77777777" w:rsidR="002B4D79" w:rsidRPr="005A5D12" w:rsidRDefault="002B4D79" w:rsidP="00F43C5C">
            <w:pPr>
              <w:spacing w:after="120"/>
              <w:jc w:val="both"/>
              <w:rPr>
                <w:rFonts w:ascii="Times New Roman" w:hAnsi="Times New Roman"/>
                <w:sz w:val="22"/>
                <w:szCs w:val="22"/>
              </w:rPr>
            </w:pPr>
            <w:r w:rsidRPr="005A5D12">
              <w:rPr>
                <w:rFonts w:ascii="Times New Roman" w:hAnsi="Times New Roman"/>
                <w:sz w:val="22"/>
                <w:szCs w:val="22"/>
              </w:rPr>
              <w:t>8:00-8:30</w:t>
            </w:r>
          </w:p>
        </w:tc>
        <w:tc>
          <w:tcPr>
            <w:tcW w:w="1294" w:type="dxa"/>
          </w:tcPr>
          <w:p w14:paraId="3D789732" w14:textId="77777777" w:rsidR="002B4D79" w:rsidRPr="005A5D12" w:rsidRDefault="002B4D79" w:rsidP="00F43C5C">
            <w:pPr>
              <w:spacing w:after="120"/>
              <w:jc w:val="both"/>
              <w:rPr>
                <w:rFonts w:ascii="Times New Roman" w:hAnsi="Times New Roman"/>
                <w:sz w:val="22"/>
                <w:szCs w:val="22"/>
              </w:rPr>
            </w:pPr>
            <w:r w:rsidRPr="005A5D12">
              <w:rPr>
                <w:rFonts w:ascii="Times New Roman" w:hAnsi="Times New Roman"/>
                <w:sz w:val="22"/>
                <w:szCs w:val="22"/>
              </w:rPr>
              <w:t>Obec X</w:t>
            </w:r>
          </w:p>
        </w:tc>
        <w:tc>
          <w:tcPr>
            <w:tcW w:w="1294" w:type="dxa"/>
          </w:tcPr>
          <w:p w14:paraId="564D30C1" w14:textId="77777777" w:rsidR="002B4D79" w:rsidRPr="005A5D12" w:rsidRDefault="002B4D79" w:rsidP="00F43C5C">
            <w:pPr>
              <w:spacing w:after="120"/>
              <w:jc w:val="both"/>
              <w:rPr>
                <w:rFonts w:ascii="Times New Roman" w:hAnsi="Times New Roman"/>
                <w:sz w:val="22"/>
                <w:szCs w:val="22"/>
              </w:rPr>
            </w:pPr>
            <w:r w:rsidRPr="005A5D12">
              <w:rPr>
                <w:rFonts w:ascii="Times New Roman" w:hAnsi="Times New Roman"/>
                <w:sz w:val="22"/>
                <w:szCs w:val="22"/>
              </w:rPr>
              <w:t>KÚ Y</w:t>
            </w:r>
          </w:p>
        </w:tc>
        <w:tc>
          <w:tcPr>
            <w:tcW w:w="1295" w:type="dxa"/>
          </w:tcPr>
          <w:p w14:paraId="6A5442EA" w14:textId="77777777" w:rsidR="002B4D79" w:rsidRPr="005A5D12" w:rsidRDefault="002B4D79" w:rsidP="00F43C5C">
            <w:pPr>
              <w:spacing w:after="120"/>
              <w:jc w:val="both"/>
              <w:rPr>
                <w:rFonts w:ascii="Times New Roman" w:hAnsi="Times New Roman"/>
                <w:sz w:val="22"/>
                <w:szCs w:val="22"/>
              </w:rPr>
            </w:pPr>
            <w:r w:rsidRPr="005A5D12">
              <w:rPr>
                <w:rFonts w:ascii="Times New Roman" w:hAnsi="Times New Roman"/>
                <w:sz w:val="22"/>
                <w:szCs w:val="22"/>
              </w:rPr>
              <w:t>PŠ</w:t>
            </w:r>
          </w:p>
        </w:tc>
        <w:tc>
          <w:tcPr>
            <w:tcW w:w="1295" w:type="dxa"/>
          </w:tcPr>
          <w:p w14:paraId="3D97ECF1" w14:textId="77777777" w:rsidR="002B4D79" w:rsidRPr="005A5D12" w:rsidRDefault="002B4D79" w:rsidP="00F43C5C">
            <w:pPr>
              <w:spacing w:after="120"/>
              <w:jc w:val="both"/>
              <w:rPr>
                <w:rFonts w:ascii="Times New Roman" w:hAnsi="Times New Roman"/>
                <w:sz w:val="22"/>
                <w:szCs w:val="22"/>
              </w:rPr>
            </w:pPr>
            <w:r w:rsidRPr="005A5D12">
              <w:rPr>
                <w:rFonts w:ascii="Times New Roman" w:hAnsi="Times New Roman"/>
                <w:sz w:val="22"/>
                <w:szCs w:val="22"/>
              </w:rPr>
              <w:t>85</w:t>
            </w:r>
          </w:p>
        </w:tc>
      </w:tr>
    </w:tbl>
    <w:p w14:paraId="56A71C71" w14:textId="77777777" w:rsidR="002B4D79" w:rsidRDefault="002B4D79" w:rsidP="00F43C5C">
      <w:pPr>
        <w:spacing w:after="120"/>
        <w:jc w:val="both"/>
      </w:pPr>
    </w:p>
    <w:p w14:paraId="63FB11BC" w14:textId="0EEE45AC" w:rsidR="002B4D79" w:rsidRPr="008D6724" w:rsidRDefault="008D6724" w:rsidP="008D6724">
      <w:pPr>
        <w:spacing w:after="240"/>
        <w:jc w:val="both"/>
        <w:rPr>
          <w:b/>
        </w:rPr>
      </w:pPr>
      <w:r w:rsidRPr="008D6724">
        <w:rPr>
          <w:b/>
        </w:rPr>
        <w:t>Uchazeč popíše, jakým způsobem dokáže reflektovat požadavky na výstupy dat. Uchazeč uvede podobu výstupů s příkladem možné struktury datové matice cest.</w:t>
      </w:r>
      <w:r w:rsidR="002B4D79" w:rsidRPr="008D6724">
        <w:rPr>
          <w:b/>
        </w:rPr>
        <w:t xml:space="preserve"> </w:t>
      </w:r>
    </w:p>
    <w:p w14:paraId="28A8BC43" w14:textId="77777777" w:rsidR="00FF34C7" w:rsidRPr="00032DB6" w:rsidRDefault="00FF34C7" w:rsidP="00F43C5C">
      <w:pPr>
        <w:pStyle w:val="Odstavecseseznamem"/>
        <w:spacing w:after="120"/>
        <w:ind w:left="709"/>
        <w:jc w:val="both"/>
      </w:pPr>
    </w:p>
    <w:p w14:paraId="05101FFF" w14:textId="77777777" w:rsidR="00472412" w:rsidRPr="004A0EF2" w:rsidRDefault="00472412" w:rsidP="000401B4">
      <w:pPr>
        <w:pStyle w:val="Odstavecseseznamem"/>
        <w:numPr>
          <w:ilvl w:val="0"/>
          <w:numId w:val="3"/>
        </w:numPr>
        <w:spacing w:after="120"/>
        <w:ind w:left="357" w:hanging="357"/>
        <w:contextualSpacing w:val="0"/>
        <w:jc w:val="both"/>
        <w:rPr>
          <w:b/>
          <w:bCs/>
        </w:rPr>
      </w:pPr>
      <w:r w:rsidRPr="004A0EF2">
        <w:rPr>
          <w:b/>
          <w:bCs/>
        </w:rPr>
        <w:t>Délka doby plnění</w:t>
      </w:r>
    </w:p>
    <w:p w14:paraId="56A831C2" w14:textId="6187813C" w:rsidR="00472412" w:rsidRDefault="00472412" w:rsidP="00F43C5C">
      <w:pPr>
        <w:spacing w:after="120"/>
        <w:jc w:val="both"/>
      </w:pPr>
      <w:r w:rsidRPr="00044D4C">
        <w:t xml:space="preserve">Práce na </w:t>
      </w:r>
      <w:r w:rsidR="00044D4C" w:rsidRPr="00412061">
        <w:t>analýze a agregaci dat</w:t>
      </w:r>
      <w:r w:rsidRPr="00412061">
        <w:t xml:space="preserve"> začnou neprodleně </w:t>
      </w:r>
      <w:r w:rsidR="00013540" w:rsidRPr="00412061">
        <w:t xml:space="preserve">po nabytí účinnosti </w:t>
      </w:r>
      <w:r w:rsidRPr="00412061">
        <w:t xml:space="preserve">smlouvy a doba plnění </w:t>
      </w:r>
      <w:r w:rsidR="00412061" w:rsidRPr="00412061">
        <w:t>se předpokládá 6</w:t>
      </w:r>
      <w:r w:rsidRPr="00412061">
        <w:t xml:space="preserve"> týdnů. </w:t>
      </w:r>
      <w:r w:rsidR="0D2CC64C" w:rsidRPr="00412061">
        <w:t>Zadavatel</w:t>
      </w:r>
      <w:r w:rsidR="0D2CC64C" w:rsidRPr="00044D4C">
        <w:t xml:space="preserve"> očekává, že </w:t>
      </w:r>
      <w:r w:rsidR="00044D4C" w:rsidRPr="00044D4C">
        <w:t>výstupy budou založeny na datech z období října</w:t>
      </w:r>
      <w:r w:rsidR="00044D4C">
        <w:t xml:space="preserve"> a</w:t>
      </w:r>
      <w:r w:rsidR="0D2CC64C" w:rsidRPr="00044D4C">
        <w:t xml:space="preserve"> listopadu</w:t>
      </w:r>
      <w:r w:rsidR="00044D4C" w:rsidRPr="00044D4C">
        <w:t xml:space="preserve"> roku</w:t>
      </w:r>
      <w:r w:rsidR="0D2CC64C" w:rsidRPr="00044D4C">
        <w:t xml:space="preserve"> 2020.</w:t>
      </w:r>
      <w:r w:rsidR="00044D4C">
        <w:t xml:space="preserve"> Konkrétní analyzované týdny budou upřesněny v průběhu řešení.</w:t>
      </w:r>
    </w:p>
    <w:p w14:paraId="7273FFB8" w14:textId="77777777" w:rsidR="005A6B51" w:rsidRPr="00032DB6" w:rsidRDefault="005A6B51" w:rsidP="00F43C5C">
      <w:pPr>
        <w:spacing w:after="120"/>
        <w:jc w:val="both"/>
      </w:pPr>
    </w:p>
    <w:p w14:paraId="67261BD2" w14:textId="77777777" w:rsidR="006176B0" w:rsidRPr="00857A76" w:rsidRDefault="006176B0" w:rsidP="000401B4">
      <w:pPr>
        <w:pStyle w:val="Odstavecseseznamem"/>
        <w:numPr>
          <w:ilvl w:val="0"/>
          <w:numId w:val="3"/>
        </w:numPr>
        <w:spacing w:after="120"/>
        <w:ind w:left="357" w:hanging="357"/>
        <w:contextualSpacing w:val="0"/>
        <w:jc w:val="both"/>
        <w:rPr>
          <w:b/>
          <w:bCs/>
        </w:rPr>
      </w:pPr>
      <w:r w:rsidRPr="00857A76">
        <w:rPr>
          <w:b/>
          <w:bCs/>
        </w:rPr>
        <w:t>Pracovní výbory</w:t>
      </w:r>
    </w:p>
    <w:p w14:paraId="3C06295F" w14:textId="55F9D0EE" w:rsidR="006176B0" w:rsidRPr="00032DB6" w:rsidRDefault="006176B0" w:rsidP="00F43C5C">
      <w:pPr>
        <w:spacing w:after="120"/>
        <w:jc w:val="both"/>
      </w:pPr>
      <w:r w:rsidRPr="00044D4C">
        <w:t xml:space="preserve">V průběhu zpracování zakázky se uskuteční minimálně </w:t>
      </w:r>
      <w:r w:rsidR="00E16C70" w:rsidRPr="00044D4C">
        <w:t>3</w:t>
      </w:r>
      <w:r w:rsidRPr="00044D4C">
        <w:t xml:space="preserve"> pracovní výbory</w:t>
      </w:r>
      <w:r w:rsidR="00543475" w:rsidRPr="00044D4C">
        <w:t xml:space="preserve"> – 1. pro ujasnění zadání, 2. nad </w:t>
      </w:r>
      <w:r w:rsidR="00044D4C" w:rsidRPr="00044D4C">
        <w:t>technickými limity a průběhem analýzy</w:t>
      </w:r>
      <w:r w:rsidR="00E16C70" w:rsidRPr="00044D4C">
        <w:t xml:space="preserve">, 3. </w:t>
      </w:r>
      <w:r w:rsidRPr="00044D4C">
        <w:t xml:space="preserve">po </w:t>
      </w:r>
      <w:r w:rsidR="00044D4C" w:rsidRPr="00044D4C">
        <w:t>agregaci</w:t>
      </w:r>
      <w:r w:rsidRPr="00044D4C">
        <w:t xml:space="preserve"> dat</w:t>
      </w:r>
      <w:r w:rsidR="00044D4C" w:rsidRPr="00044D4C">
        <w:t xml:space="preserve"> a sestavení prvních výstupů</w:t>
      </w:r>
      <w:r w:rsidR="00543475" w:rsidRPr="00044D4C">
        <w:t xml:space="preserve">, kdy </w:t>
      </w:r>
      <w:r w:rsidRPr="00044D4C">
        <w:t>bude zadavatel seznámen s</w:t>
      </w:r>
      <w:r w:rsidR="00E16C70" w:rsidRPr="00044D4C">
        <w:t> </w:t>
      </w:r>
      <w:r w:rsidR="005A5D12">
        <w:t>prvními</w:t>
      </w:r>
      <w:r w:rsidR="00E16C70" w:rsidRPr="00044D4C">
        <w:t xml:space="preserve"> </w:t>
      </w:r>
      <w:r w:rsidRPr="00044D4C">
        <w:t xml:space="preserve">výstupy analýzy dat a zároveň bude projednána a schválena forma </w:t>
      </w:r>
      <w:r w:rsidR="00044D4C" w:rsidRPr="00044D4C">
        <w:t>výstupů</w:t>
      </w:r>
      <w:r w:rsidR="00A16173" w:rsidRPr="00044D4C">
        <w:t>.</w:t>
      </w:r>
      <w:r w:rsidR="00543475" w:rsidRPr="00044D4C">
        <w:t xml:space="preserve"> </w:t>
      </w:r>
      <w:r w:rsidR="00044D4C" w:rsidRPr="00044D4C">
        <w:t>Zadavatel bude mít možnost kontroly výstupních dat. Pokud nastane problém s validací dat ze strany zadavatele, zhotovi</w:t>
      </w:r>
      <w:r w:rsidR="00E07C68">
        <w:t>te</w:t>
      </w:r>
      <w:r w:rsidR="00044D4C" w:rsidRPr="00044D4C">
        <w:t xml:space="preserve">l umožní zadavateli další vzájemnou konzultaci, na které budou řešeny možnosti úpravy finálních výstupů. </w:t>
      </w:r>
      <w:r w:rsidR="00E16C70" w:rsidRPr="00044D4C">
        <w:t xml:space="preserve">Další </w:t>
      </w:r>
      <w:r w:rsidR="00515087" w:rsidRPr="00044D4C">
        <w:t xml:space="preserve">pracovní </w:t>
      </w:r>
      <w:r w:rsidR="00E16C70" w:rsidRPr="00044D4C">
        <w:t>výbory se uskuteční v případě potřeby</w:t>
      </w:r>
      <w:r w:rsidR="00C50FB1" w:rsidRPr="00044D4C">
        <w:t xml:space="preserve"> na základě žádosti </w:t>
      </w:r>
      <w:r w:rsidR="003603EF" w:rsidRPr="00044D4C">
        <w:t>zadavatele</w:t>
      </w:r>
      <w:r w:rsidR="00E16C70" w:rsidRPr="00044D4C">
        <w:t>.</w:t>
      </w:r>
      <w:r w:rsidR="00E16C70">
        <w:t xml:space="preserve"> </w:t>
      </w:r>
      <w:r w:rsidR="00543475">
        <w:t xml:space="preserve"> </w:t>
      </w:r>
    </w:p>
    <w:p w14:paraId="536DF26F" w14:textId="77777777" w:rsidR="008F3D33" w:rsidRPr="00032DB6" w:rsidRDefault="008F3D33" w:rsidP="00F43C5C">
      <w:pPr>
        <w:spacing w:after="120"/>
        <w:jc w:val="both"/>
      </w:pPr>
    </w:p>
    <w:p w14:paraId="3BFA6CC2" w14:textId="5E6FBE47" w:rsidR="006176B0" w:rsidRPr="001B4AB4" w:rsidRDefault="00E07C68" w:rsidP="000401B4">
      <w:pPr>
        <w:pStyle w:val="Odstavecseseznamem"/>
        <w:numPr>
          <w:ilvl w:val="0"/>
          <w:numId w:val="3"/>
        </w:numPr>
        <w:spacing w:after="120"/>
        <w:ind w:left="357" w:hanging="357"/>
        <w:contextualSpacing w:val="0"/>
        <w:jc w:val="both"/>
        <w:rPr>
          <w:b/>
          <w:bCs/>
        </w:rPr>
      </w:pPr>
      <w:r>
        <w:rPr>
          <w:b/>
          <w:bCs/>
        </w:rPr>
        <w:t xml:space="preserve">Formát </w:t>
      </w:r>
      <w:r w:rsidRPr="001B4AB4">
        <w:rPr>
          <w:b/>
          <w:bCs/>
        </w:rPr>
        <w:t>výstupních dat</w:t>
      </w:r>
    </w:p>
    <w:p w14:paraId="2C27FBE0" w14:textId="333C98AF" w:rsidR="00E07C68" w:rsidRPr="001B4AB4" w:rsidRDefault="00E07C68" w:rsidP="00E07C68">
      <w:pPr>
        <w:spacing w:after="120"/>
        <w:jc w:val="both"/>
      </w:pPr>
      <w:r w:rsidRPr="001B4AB4">
        <w:t xml:space="preserve">Matice bude předána v podobě </w:t>
      </w:r>
      <w:proofErr w:type="spellStart"/>
      <w:r w:rsidRPr="001B4AB4">
        <w:t>csv</w:t>
      </w:r>
      <w:proofErr w:type="spellEnd"/>
      <w:r w:rsidRPr="001B4AB4">
        <w:t xml:space="preserve"> souboru, ve kterém bude uveden soupis všech uskutečněných cest. </w:t>
      </w:r>
    </w:p>
    <w:p w14:paraId="164DEB83" w14:textId="36BA4A24" w:rsidR="008335D3" w:rsidRPr="001B4AB4" w:rsidRDefault="00E07C68" w:rsidP="00F43C5C">
      <w:pPr>
        <w:spacing w:after="120"/>
        <w:jc w:val="both"/>
      </w:pPr>
      <w:r w:rsidRPr="001B4AB4">
        <w:t xml:space="preserve">Data budou dodána i jako NEKALIBROVANÁ na celou </w:t>
      </w:r>
      <w:proofErr w:type="gramStart"/>
      <w:r w:rsidRPr="001B4AB4">
        <w:t>populaci - z</w:t>
      </w:r>
      <w:proofErr w:type="gramEnd"/>
      <w:r w:rsidRPr="001B4AB4">
        <w:t xml:space="preserve"> důvodu efektnějšího využití pro potřeby Magistrátu města Brna.</w:t>
      </w:r>
    </w:p>
    <w:sectPr w:rsidR="008335D3" w:rsidRPr="001B4AB4" w:rsidSect="00672A06">
      <w:headerReference w:type="first" r:id="rId2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28F9" w14:textId="77777777" w:rsidR="00D232C0" w:rsidRDefault="00D232C0">
      <w:r>
        <w:separator/>
      </w:r>
    </w:p>
  </w:endnote>
  <w:endnote w:type="continuationSeparator" w:id="0">
    <w:p w14:paraId="26711FBB" w14:textId="77777777" w:rsidR="00D232C0" w:rsidRDefault="00D232C0">
      <w:r>
        <w:continuationSeparator/>
      </w:r>
    </w:p>
  </w:endnote>
  <w:endnote w:type="continuationNotice" w:id="1">
    <w:p w14:paraId="59E6A4BC" w14:textId="77777777" w:rsidR="00D232C0" w:rsidRDefault="00D23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Univers Cd (WE)">
    <w:altName w:val="Calibri"/>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9799" w14:textId="77777777" w:rsidR="00D232C0" w:rsidRDefault="00D232C0" w:rsidP="008672D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A426FC5" w14:textId="77777777" w:rsidR="00D232C0" w:rsidRDefault="00D232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3194" w14:textId="24473F55" w:rsidR="00D232C0" w:rsidRDefault="00D232C0" w:rsidP="008672D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D1146">
      <w:rPr>
        <w:rStyle w:val="slostrnky"/>
        <w:noProof/>
      </w:rPr>
      <w:t>16</w:t>
    </w:r>
    <w:r>
      <w:rPr>
        <w:rStyle w:val="slostrnky"/>
      </w:rPr>
      <w:fldChar w:fldCharType="end"/>
    </w:r>
  </w:p>
  <w:p w14:paraId="61DEFEA3" w14:textId="77777777" w:rsidR="00D232C0" w:rsidRDefault="00D232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A15D" w14:textId="77777777" w:rsidR="00D232C0" w:rsidRDefault="00D232C0">
      <w:r>
        <w:separator/>
      </w:r>
    </w:p>
  </w:footnote>
  <w:footnote w:type="continuationSeparator" w:id="0">
    <w:p w14:paraId="5CC2CCF0" w14:textId="77777777" w:rsidR="00D232C0" w:rsidRDefault="00D232C0">
      <w:r>
        <w:continuationSeparator/>
      </w:r>
    </w:p>
  </w:footnote>
  <w:footnote w:type="continuationNotice" w:id="1">
    <w:p w14:paraId="13B73EB8" w14:textId="77777777" w:rsidR="00D232C0" w:rsidRDefault="00D23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396A" w14:textId="77777777" w:rsidR="00D232C0" w:rsidRDefault="00D232C0" w:rsidP="001F347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F63B" w14:textId="77777777" w:rsidR="00D232C0" w:rsidRDefault="00D232C0" w:rsidP="001F3476">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AC24" w14:textId="77777777" w:rsidR="00D232C0" w:rsidRPr="00306641" w:rsidRDefault="00D232C0" w:rsidP="002F781D">
    <w:pPr>
      <w:jc w:val="right"/>
      <w:rPr>
        <w:b/>
        <w:bCs/>
      </w:rPr>
    </w:pPr>
    <w:r w:rsidRPr="00306641">
      <w:rPr>
        <w:b/>
      </w:rPr>
      <w:t>Příloha č. 1 zadávacích podmínek</w:t>
    </w:r>
  </w:p>
  <w:p w14:paraId="60435B4F" w14:textId="77777777" w:rsidR="00D232C0" w:rsidRDefault="00D232C0" w:rsidP="001F347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47EF" w14:textId="3D3EB965" w:rsidR="00D232C0" w:rsidRPr="00306641" w:rsidRDefault="00D232C0" w:rsidP="002F781D">
    <w:pPr>
      <w:jc w:val="right"/>
      <w:rPr>
        <w:b/>
        <w:bCs/>
      </w:rPr>
    </w:pPr>
    <w:r w:rsidRPr="00306641">
      <w:rPr>
        <w:b/>
      </w:rPr>
      <w:t xml:space="preserve">Příloha č. </w:t>
    </w:r>
    <w:r>
      <w:rPr>
        <w:b/>
      </w:rPr>
      <w:t>2</w:t>
    </w:r>
    <w:r w:rsidRPr="00306641">
      <w:rPr>
        <w:b/>
      </w:rPr>
      <w:t xml:space="preserve"> zadávacích podmínek</w:t>
    </w:r>
    <w:r w:rsidRPr="00AF2A26">
      <w:rPr>
        <w:b/>
        <w:i/>
      </w:rPr>
      <w:t>*</w:t>
    </w:r>
  </w:p>
  <w:p w14:paraId="34E87C1C" w14:textId="77777777" w:rsidR="00D232C0" w:rsidRDefault="00D232C0" w:rsidP="001F347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D72"/>
    <w:multiLevelType w:val="hybridMultilevel"/>
    <w:tmpl w:val="94809BF0"/>
    <w:lvl w:ilvl="0" w:tplc="DC8C794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E645FD"/>
    <w:multiLevelType w:val="hybridMultilevel"/>
    <w:tmpl w:val="2414700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4065EC"/>
    <w:multiLevelType w:val="hybridMultilevel"/>
    <w:tmpl w:val="F2AEB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A45CEA"/>
    <w:multiLevelType w:val="hybridMultilevel"/>
    <w:tmpl w:val="012090B2"/>
    <w:lvl w:ilvl="0" w:tplc="DC8C794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2B12CC"/>
    <w:multiLevelType w:val="hybridMultilevel"/>
    <w:tmpl w:val="BC8497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930544"/>
    <w:multiLevelType w:val="hybridMultilevel"/>
    <w:tmpl w:val="83DE6FB0"/>
    <w:lvl w:ilvl="0" w:tplc="3C8E72D2">
      <w:start w:val="1"/>
      <w:numFmt w:val="decimal"/>
      <w:lvlText w:val="%1."/>
      <w:lvlJc w:val="left"/>
      <w:pPr>
        <w:tabs>
          <w:tab w:val="num" w:pos="360"/>
        </w:tabs>
        <w:ind w:left="360" w:hanging="360"/>
      </w:pPr>
      <w:rPr>
        <w:rFonts w:ascii="Times New Roman" w:hAnsi="Times New Roman" w:cs="Times New Roman"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0A2F26"/>
    <w:multiLevelType w:val="multilevel"/>
    <w:tmpl w:val="32F2D6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rPr>
    </w:lvl>
    <w:lvl w:ilvl="2">
      <w:start w:val="1"/>
      <w:numFmt w:val="lowerLetter"/>
      <w:lvlText w:val="%3)"/>
      <w:lvlJc w:val="left"/>
      <w:pPr>
        <w:tabs>
          <w:tab w:val="num" w:pos="1259"/>
        </w:tabs>
        <w:ind w:left="1259" w:hanging="465"/>
      </w:pPr>
      <w:rPr>
        <w:rFonts w:hint="default"/>
        <w:b w:val="0"/>
        <w:i w:val="0"/>
      </w:rPr>
    </w:lvl>
    <w:lvl w:ilvl="3">
      <w:start w:val="1"/>
      <w:numFmt w:val="bullet"/>
      <w:lvlText w:val="-"/>
      <w:lvlJc w:val="left"/>
      <w:pPr>
        <w:tabs>
          <w:tab w:val="num" w:pos="1588"/>
        </w:tabs>
        <w:ind w:left="1588" w:hanging="329"/>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BE0B30"/>
    <w:multiLevelType w:val="hybridMultilevel"/>
    <w:tmpl w:val="E3F011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C87307"/>
    <w:multiLevelType w:val="multilevel"/>
    <w:tmpl w:val="0D6AFF60"/>
    <w:lvl w:ilvl="0">
      <w:start w:val="1"/>
      <w:numFmt w:val="decimal"/>
      <w:lvlText w:val="%1."/>
      <w:lvlJc w:val="left"/>
      <w:pPr>
        <w:tabs>
          <w:tab w:val="num" w:pos="360"/>
        </w:tabs>
        <w:ind w:left="360" w:hanging="360"/>
      </w:pPr>
      <w:rPr>
        <w:rFonts w:hint="default"/>
        <w:b/>
      </w:rPr>
    </w:lvl>
    <w:lvl w:ilvl="1">
      <w:start w:val="1"/>
      <w:numFmt w:val="decimal"/>
      <w:lvlText w:val="9.%2."/>
      <w:lvlJc w:val="left"/>
      <w:pPr>
        <w:tabs>
          <w:tab w:val="num" w:pos="792"/>
        </w:tabs>
        <w:ind w:left="792" w:hanging="432"/>
      </w:pPr>
      <w:rPr>
        <w:rFonts w:hint="default"/>
        <w:b/>
        <w:i w:val="0"/>
      </w:rPr>
    </w:lvl>
    <w:lvl w:ilvl="2">
      <w:start w:val="1"/>
      <w:numFmt w:val="lowerLetter"/>
      <w:lvlText w:val="%3)"/>
      <w:lvlJc w:val="left"/>
      <w:pPr>
        <w:tabs>
          <w:tab w:val="num" w:pos="1259"/>
        </w:tabs>
        <w:ind w:left="1259" w:hanging="465"/>
      </w:pPr>
      <w:rPr>
        <w:rFonts w:hint="default"/>
        <w:b w:val="0"/>
        <w:i w:val="0"/>
      </w:rPr>
    </w:lvl>
    <w:lvl w:ilvl="3">
      <w:start w:val="1"/>
      <w:numFmt w:val="bullet"/>
      <w:lvlText w:val="-"/>
      <w:lvlJc w:val="left"/>
      <w:pPr>
        <w:tabs>
          <w:tab w:val="num" w:pos="1588"/>
        </w:tabs>
        <w:ind w:left="1588" w:hanging="329"/>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AA76C9"/>
    <w:multiLevelType w:val="hybridMultilevel"/>
    <w:tmpl w:val="012090B2"/>
    <w:lvl w:ilvl="0" w:tplc="DC8C794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382510"/>
    <w:multiLevelType w:val="hybridMultilevel"/>
    <w:tmpl w:val="99BAE2D0"/>
    <w:lvl w:ilvl="0" w:tplc="3656F636">
      <w:start w:val="1"/>
      <w:numFmt w:val="bullet"/>
      <w:lvlText w:val="-"/>
      <w:lvlJc w:val="left"/>
      <w:pPr>
        <w:ind w:left="360" w:hanging="360"/>
      </w:pPr>
      <w:rPr>
        <w:rFonts w:ascii="Calibri" w:hAnsi="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DA9574C"/>
    <w:multiLevelType w:val="hybridMultilevel"/>
    <w:tmpl w:val="94809BF0"/>
    <w:lvl w:ilvl="0" w:tplc="DC8C794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41F3EE1"/>
    <w:multiLevelType w:val="multilevel"/>
    <w:tmpl w:val="0D6AFF60"/>
    <w:lvl w:ilvl="0">
      <w:start w:val="1"/>
      <w:numFmt w:val="decimal"/>
      <w:lvlText w:val="%1."/>
      <w:lvlJc w:val="left"/>
      <w:pPr>
        <w:tabs>
          <w:tab w:val="num" w:pos="360"/>
        </w:tabs>
        <w:ind w:left="360" w:hanging="360"/>
      </w:pPr>
      <w:rPr>
        <w:rFonts w:hint="default"/>
        <w:b/>
      </w:rPr>
    </w:lvl>
    <w:lvl w:ilvl="1">
      <w:start w:val="1"/>
      <w:numFmt w:val="decimal"/>
      <w:lvlText w:val="9.%2."/>
      <w:lvlJc w:val="left"/>
      <w:pPr>
        <w:tabs>
          <w:tab w:val="num" w:pos="792"/>
        </w:tabs>
        <w:ind w:left="792" w:hanging="432"/>
      </w:pPr>
      <w:rPr>
        <w:rFonts w:hint="default"/>
        <w:b/>
        <w:i w:val="0"/>
      </w:rPr>
    </w:lvl>
    <w:lvl w:ilvl="2">
      <w:start w:val="1"/>
      <w:numFmt w:val="lowerLetter"/>
      <w:lvlText w:val="%3)"/>
      <w:lvlJc w:val="left"/>
      <w:pPr>
        <w:tabs>
          <w:tab w:val="num" w:pos="1259"/>
        </w:tabs>
        <w:ind w:left="1259" w:hanging="465"/>
      </w:pPr>
      <w:rPr>
        <w:rFonts w:hint="default"/>
        <w:b w:val="0"/>
        <w:i w:val="0"/>
      </w:rPr>
    </w:lvl>
    <w:lvl w:ilvl="3">
      <w:start w:val="1"/>
      <w:numFmt w:val="bullet"/>
      <w:lvlText w:val="-"/>
      <w:lvlJc w:val="left"/>
      <w:pPr>
        <w:tabs>
          <w:tab w:val="num" w:pos="1588"/>
        </w:tabs>
        <w:ind w:left="1588" w:hanging="329"/>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625C7F"/>
    <w:multiLevelType w:val="hybridMultilevel"/>
    <w:tmpl w:val="012090B2"/>
    <w:lvl w:ilvl="0" w:tplc="DC8C794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C611806"/>
    <w:multiLevelType w:val="hybridMultilevel"/>
    <w:tmpl w:val="873A3AF6"/>
    <w:lvl w:ilvl="0" w:tplc="67A490A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DC0E9F"/>
    <w:multiLevelType w:val="multilevel"/>
    <w:tmpl w:val="21D690F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rPr>
    </w:lvl>
    <w:lvl w:ilvl="2">
      <w:start w:val="3"/>
      <w:numFmt w:val="lowerLetter"/>
      <w:lvlText w:val="%3)"/>
      <w:lvlJc w:val="left"/>
      <w:pPr>
        <w:tabs>
          <w:tab w:val="num" w:pos="1259"/>
        </w:tabs>
        <w:ind w:left="1259" w:hanging="465"/>
      </w:pPr>
      <w:rPr>
        <w:rFonts w:hint="default"/>
        <w:b w:val="0"/>
        <w:i w:val="0"/>
      </w:rPr>
    </w:lvl>
    <w:lvl w:ilvl="3">
      <w:start w:val="1"/>
      <w:numFmt w:val="bullet"/>
      <w:lvlText w:val="-"/>
      <w:lvlJc w:val="left"/>
      <w:pPr>
        <w:tabs>
          <w:tab w:val="num" w:pos="1588"/>
        </w:tabs>
        <w:ind w:left="1588" w:hanging="329"/>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B07210F"/>
    <w:multiLevelType w:val="hybridMultilevel"/>
    <w:tmpl w:val="94809BF0"/>
    <w:lvl w:ilvl="0" w:tplc="DC8C794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F8B4D3B"/>
    <w:multiLevelType w:val="multilevel"/>
    <w:tmpl w:val="0D6AFF60"/>
    <w:lvl w:ilvl="0">
      <w:start w:val="1"/>
      <w:numFmt w:val="decimal"/>
      <w:lvlText w:val="%1."/>
      <w:lvlJc w:val="left"/>
      <w:pPr>
        <w:tabs>
          <w:tab w:val="num" w:pos="360"/>
        </w:tabs>
        <w:ind w:left="360" w:hanging="360"/>
      </w:pPr>
      <w:rPr>
        <w:rFonts w:hint="default"/>
        <w:b/>
      </w:rPr>
    </w:lvl>
    <w:lvl w:ilvl="1">
      <w:start w:val="1"/>
      <w:numFmt w:val="decimal"/>
      <w:lvlText w:val="9.%2."/>
      <w:lvlJc w:val="left"/>
      <w:pPr>
        <w:tabs>
          <w:tab w:val="num" w:pos="792"/>
        </w:tabs>
        <w:ind w:left="792" w:hanging="432"/>
      </w:pPr>
      <w:rPr>
        <w:rFonts w:hint="default"/>
        <w:b/>
        <w:i w:val="0"/>
      </w:rPr>
    </w:lvl>
    <w:lvl w:ilvl="2">
      <w:start w:val="1"/>
      <w:numFmt w:val="lowerLetter"/>
      <w:lvlText w:val="%3)"/>
      <w:lvlJc w:val="left"/>
      <w:pPr>
        <w:tabs>
          <w:tab w:val="num" w:pos="1259"/>
        </w:tabs>
        <w:ind w:left="1259" w:hanging="465"/>
      </w:pPr>
      <w:rPr>
        <w:rFonts w:hint="default"/>
        <w:b w:val="0"/>
        <w:i w:val="0"/>
      </w:rPr>
    </w:lvl>
    <w:lvl w:ilvl="3">
      <w:start w:val="1"/>
      <w:numFmt w:val="bullet"/>
      <w:lvlText w:val="-"/>
      <w:lvlJc w:val="left"/>
      <w:pPr>
        <w:tabs>
          <w:tab w:val="num" w:pos="1588"/>
        </w:tabs>
        <w:ind w:left="1588" w:hanging="329"/>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091DC3"/>
    <w:multiLevelType w:val="multilevel"/>
    <w:tmpl w:val="8A508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440D35"/>
    <w:multiLevelType w:val="hybridMultilevel"/>
    <w:tmpl w:val="C144DF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EB1BC4"/>
    <w:multiLevelType w:val="hybridMultilevel"/>
    <w:tmpl w:val="94809BF0"/>
    <w:lvl w:ilvl="0" w:tplc="DC8C794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0AE517B"/>
    <w:multiLevelType w:val="hybridMultilevel"/>
    <w:tmpl w:val="94809BF0"/>
    <w:lvl w:ilvl="0" w:tplc="DC8C794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10C55EF"/>
    <w:multiLevelType w:val="multilevel"/>
    <w:tmpl w:val="CE24B1AA"/>
    <w:lvl w:ilvl="0">
      <w:start w:val="10"/>
      <w:numFmt w:val="decimal"/>
      <w:lvlText w:val="%1."/>
      <w:lvlJc w:val="left"/>
      <w:pPr>
        <w:ind w:left="480" w:hanging="480"/>
      </w:pPr>
      <w:rPr>
        <w:rFonts w:hint="default"/>
        <w:b w:val="0"/>
      </w:rPr>
    </w:lvl>
    <w:lvl w:ilvl="1">
      <w:start w:val="1"/>
      <w:numFmt w:val="decimal"/>
      <w:lvlText w:val="%1.%2."/>
      <w:lvlJc w:val="left"/>
      <w:pPr>
        <w:ind w:left="840" w:hanging="48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635F73E2"/>
    <w:multiLevelType w:val="hybridMultilevel"/>
    <w:tmpl w:val="94809BF0"/>
    <w:lvl w:ilvl="0" w:tplc="DC8C794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07224BD"/>
    <w:multiLevelType w:val="hybridMultilevel"/>
    <w:tmpl w:val="012090B2"/>
    <w:lvl w:ilvl="0" w:tplc="DC8C794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0B7186"/>
    <w:multiLevelType w:val="multilevel"/>
    <w:tmpl w:val="237CB7A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EC7960"/>
    <w:multiLevelType w:val="hybridMultilevel"/>
    <w:tmpl w:val="B7B4F212"/>
    <w:lvl w:ilvl="0" w:tplc="DC8C794A">
      <w:start w:val="1"/>
      <w:numFmt w:val="decimal"/>
      <w:lvlText w:val="%1."/>
      <w:lvlJc w:val="left"/>
      <w:pPr>
        <w:tabs>
          <w:tab w:val="num" w:pos="360"/>
        </w:tabs>
        <w:ind w:left="360" w:hanging="360"/>
      </w:pPr>
      <w:rPr>
        <w:rFonts w:hint="default"/>
        <w:strike w:val="0"/>
        <w:color w:val="auto"/>
      </w:rPr>
    </w:lvl>
    <w:lvl w:ilvl="1" w:tplc="962EE218">
      <w:numFmt w:val="bullet"/>
      <w:lvlText w:val="-"/>
      <w:lvlJc w:val="left"/>
      <w:pPr>
        <w:tabs>
          <w:tab w:val="num" w:pos="1440"/>
        </w:tabs>
        <w:ind w:left="1440" w:hanging="360"/>
      </w:pPr>
      <w:rPr>
        <w:rFonts w:ascii="Cambria" w:eastAsiaTheme="minorHAnsi" w:hAnsi="Cambria" w:cstheme="minorBidi" w:hint="default"/>
      </w:rPr>
    </w:lvl>
    <w:lvl w:ilvl="2" w:tplc="4628FE5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C133D5D"/>
    <w:multiLevelType w:val="hybridMultilevel"/>
    <w:tmpl w:val="012090B2"/>
    <w:lvl w:ilvl="0" w:tplc="DC8C794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6"/>
  </w:num>
  <w:num w:numId="3">
    <w:abstractNumId w:val="2"/>
  </w:num>
  <w:num w:numId="4">
    <w:abstractNumId w:val="18"/>
  </w:num>
  <w:num w:numId="5">
    <w:abstractNumId w:val="12"/>
  </w:num>
  <w:num w:numId="6">
    <w:abstractNumId w:val="15"/>
  </w:num>
  <w:num w:numId="7">
    <w:abstractNumId w:val="19"/>
  </w:num>
  <w:num w:numId="8">
    <w:abstractNumId w:val="10"/>
  </w:num>
  <w:num w:numId="9">
    <w:abstractNumId w:val="1"/>
  </w:num>
  <w:num w:numId="10">
    <w:abstractNumId w:val="14"/>
  </w:num>
  <w:num w:numId="11">
    <w:abstractNumId w:val="17"/>
  </w:num>
  <w:num w:numId="12">
    <w:abstractNumId w:val="22"/>
  </w:num>
  <w:num w:numId="13">
    <w:abstractNumId w:val="8"/>
  </w:num>
  <w:num w:numId="14">
    <w:abstractNumId w:val="7"/>
  </w:num>
  <w:num w:numId="15">
    <w:abstractNumId w:val="5"/>
  </w:num>
  <w:num w:numId="16">
    <w:abstractNumId w:val="0"/>
  </w:num>
  <w:num w:numId="17">
    <w:abstractNumId w:val="11"/>
  </w:num>
  <w:num w:numId="18">
    <w:abstractNumId w:val="16"/>
  </w:num>
  <w:num w:numId="19">
    <w:abstractNumId w:val="26"/>
  </w:num>
  <w:num w:numId="20">
    <w:abstractNumId w:val="23"/>
  </w:num>
  <w:num w:numId="21">
    <w:abstractNumId w:val="20"/>
  </w:num>
  <w:num w:numId="22">
    <w:abstractNumId w:val="21"/>
  </w:num>
  <w:num w:numId="23">
    <w:abstractNumId w:val="9"/>
  </w:num>
  <w:num w:numId="24">
    <w:abstractNumId w:val="27"/>
  </w:num>
  <w:num w:numId="25">
    <w:abstractNumId w:val="3"/>
  </w:num>
  <w:num w:numId="26">
    <w:abstractNumId w:val="24"/>
  </w:num>
  <w:num w:numId="27">
    <w:abstractNumId w:val="13"/>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F7"/>
    <w:rsid w:val="00001818"/>
    <w:rsid w:val="000019DC"/>
    <w:rsid w:val="00001E63"/>
    <w:rsid w:val="00002AD5"/>
    <w:rsid w:val="000042F1"/>
    <w:rsid w:val="000052D0"/>
    <w:rsid w:val="000065C1"/>
    <w:rsid w:val="00010D2D"/>
    <w:rsid w:val="00013540"/>
    <w:rsid w:val="00016818"/>
    <w:rsid w:val="00017082"/>
    <w:rsid w:val="00020030"/>
    <w:rsid w:val="000214C9"/>
    <w:rsid w:val="00023031"/>
    <w:rsid w:val="000278C7"/>
    <w:rsid w:val="000313C4"/>
    <w:rsid w:val="00031CA4"/>
    <w:rsid w:val="00031FA0"/>
    <w:rsid w:val="00032DB6"/>
    <w:rsid w:val="00033454"/>
    <w:rsid w:val="00033AD0"/>
    <w:rsid w:val="00035960"/>
    <w:rsid w:val="000401B4"/>
    <w:rsid w:val="00040DC7"/>
    <w:rsid w:val="0004193B"/>
    <w:rsid w:val="00042E54"/>
    <w:rsid w:val="000433BD"/>
    <w:rsid w:val="00044D4C"/>
    <w:rsid w:val="0004537A"/>
    <w:rsid w:val="00052D87"/>
    <w:rsid w:val="0005502E"/>
    <w:rsid w:val="000563F0"/>
    <w:rsid w:val="00060456"/>
    <w:rsid w:val="00060D04"/>
    <w:rsid w:val="0006357A"/>
    <w:rsid w:val="00064259"/>
    <w:rsid w:val="00065893"/>
    <w:rsid w:val="000666AA"/>
    <w:rsid w:val="00072C16"/>
    <w:rsid w:val="00076533"/>
    <w:rsid w:val="00080F5F"/>
    <w:rsid w:val="00081C51"/>
    <w:rsid w:val="000854F3"/>
    <w:rsid w:val="00090F04"/>
    <w:rsid w:val="000921BA"/>
    <w:rsid w:val="00097D5C"/>
    <w:rsid w:val="000A4EAC"/>
    <w:rsid w:val="000A57D4"/>
    <w:rsid w:val="000A75AC"/>
    <w:rsid w:val="000A7EFE"/>
    <w:rsid w:val="000B1554"/>
    <w:rsid w:val="000B479A"/>
    <w:rsid w:val="000B5ACE"/>
    <w:rsid w:val="000B687D"/>
    <w:rsid w:val="000B77F2"/>
    <w:rsid w:val="000B7EBE"/>
    <w:rsid w:val="000C06FA"/>
    <w:rsid w:val="000C158D"/>
    <w:rsid w:val="000C1FB8"/>
    <w:rsid w:val="000C2845"/>
    <w:rsid w:val="000C40C0"/>
    <w:rsid w:val="000C58EC"/>
    <w:rsid w:val="000C5969"/>
    <w:rsid w:val="000C5E78"/>
    <w:rsid w:val="000C63D2"/>
    <w:rsid w:val="000C704E"/>
    <w:rsid w:val="000D60B1"/>
    <w:rsid w:val="000E1DE7"/>
    <w:rsid w:val="000E36F2"/>
    <w:rsid w:val="000F10FC"/>
    <w:rsid w:val="000F2778"/>
    <w:rsid w:val="000F28CB"/>
    <w:rsid w:val="000F5A5A"/>
    <w:rsid w:val="001010E4"/>
    <w:rsid w:val="00101E19"/>
    <w:rsid w:val="0010264F"/>
    <w:rsid w:val="00102677"/>
    <w:rsid w:val="001030D8"/>
    <w:rsid w:val="00104FE6"/>
    <w:rsid w:val="0010603B"/>
    <w:rsid w:val="001122C3"/>
    <w:rsid w:val="001164C4"/>
    <w:rsid w:val="00122686"/>
    <w:rsid w:val="001246D4"/>
    <w:rsid w:val="001404A1"/>
    <w:rsid w:val="001413F7"/>
    <w:rsid w:val="001426B9"/>
    <w:rsid w:val="001434F5"/>
    <w:rsid w:val="00145229"/>
    <w:rsid w:val="001454CD"/>
    <w:rsid w:val="00150480"/>
    <w:rsid w:val="00152601"/>
    <w:rsid w:val="00152726"/>
    <w:rsid w:val="001543D2"/>
    <w:rsid w:val="00155BF5"/>
    <w:rsid w:val="00155FD2"/>
    <w:rsid w:val="00157208"/>
    <w:rsid w:val="0016193D"/>
    <w:rsid w:val="001676E3"/>
    <w:rsid w:val="001703E6"/>
    <w:rsid w:val="001720F4"/>
    <w:rsid w:val="00174332"/>
    <w:rsid w:val="00175C13"/>
    <w:rsid w:val="001761E8"/>
    <w:rsid w:val="00176F34"/>
    <w:rsid w:val="00181AA2"/>
    <w:rsid w:val="00182186"/>
    <w:rsid w:val="00182AE9"/>
    <w:rsid w:val="00184201"/>
    <w:rsid w:val="0018626D"/>
    <w:rsid w:val="00191196"/>
    <w:rsid w:val="001921C1"/>
    <w:rsid w:val="001923CD"/>
    <w:rsid w:val="00192908"/>
    <w:rsid w:val="00194174"/>
    <w:rsid w:val="00194AC3"/>
    <w:rsid w:val="00195A82"/>
    <w:rsid w:val="001A095E"/>
    <w:rsid w:val="001A6A35"/>
    <w:rsid w:val="001A6CA4"/>
    <w:rsid w:val="001A75A2"/>
    <w:rsid w:val="001A78EA"/>
    <w:rsid w:val="001B1135"/>
    <w:rsid w:val="001B2CE8"/>
    <w:rsid w:val="001B4AB4"/>
    <w:rsid w:val="001B6123"/>
    <w:rsid w:val="001B7323"/>
    <w:rsid w:val="001C00CC"/>
    <w:rsid w:val="001C24A3"/>
    <w:rsid w:val="001C3B18"/>
    <w:rsid w:val="001C447E"/>
    <w:rsid w:val="001C631F"/>
    <w:rsid w:val="001D03BD"/>
    <w:rsid w:val="001D1356"/>
    <w:rsid w:val="001D382A"/>
    <w:rsid w:val="001D42DF"/>
    <w:rsid w:val="001E15DF"/>
    <w:rsid w:val="001E3110"/>
    <w:rsid w:val="001E35D0"/>
    <w:rsid w:val="001E400F"/>
    <w:rsid w:val="001E622D"/>
    <w:rsid w:val="001E64EC"/>
    <w:rsid w:val="001E7130"/>
    <w:rsid w:val="001F1C3E"/>
    <w:rsid w:val="001F3476"/>
    <w:rsid w:val="00202932"/>
    <w:rsid w:val="00207177"/>
    <w:rsid w:val="002073EB"/>
    <w:rsid w:val="00207554"/>
    <w:rsid w:val="002103BB"/>
    <w:rsid w:val="0021407B"/>
    <w:rsid w:val="00215A02"/>
    <w:rsid w:val="00215A78"/>
    <w:rsid w:val="002170C6"/>
    <w:rsid w:val="00220D6B"/>
    <w:rsid w:val="0022158F"/>
    <w:rsid w:val="00222410"/>
    <w:rsid w:val="002246C2"/>
    <w:rsid w:val="0022741B"/>
    <w:rsid w:val="002278A8"/>
    <w:rsid w:val="0023014E"/>
    <w:rsid w:val="00231479"/>
    <w:rsid w:val="00235AC2"/>
    <w:rsid w:val="00237D3B"/>
    <w:rsid w:val="0024171D"/>
    <w:rsid w:val="00246531"/>
    <w:rsid w:val="002479E7"/>
    <w:rsid w:val="00250522"/>
    <w:rsid w:val="00250DCE"/>
    <w:rsid w:val="00251DD6"/>
    <w:rsid w:val="0025417C"/>
    <w:rsid w:val="00265610"/>
    <w:rsid w:val="002663AD"/>
    <w:rsid w:val="00277559"/>
    <w:rsid w:val="00281194"/>
    <w:rsid w:val="00283155"/>
    <w:rsid w:val="00283E5A"/>
    <w:rsid w:val="0028773F"/>
    <w:rsid w:val="00287DF2"/>
    <w:rsid w:val="0029135E"/>
    <w:rsid w:val="00294F5F"/>
    <w:rsid w:val="00295ACB"/>
    <w:rsid w:val="00296ECC"/>
    <w:rsid w:val="002A490D"/>
    <w:rsid w:val="002A4D6A"/>
    <w:rsid w:val="002A7613"/>
    <w:rsid w:val="002B1863"/>
    <w:rsid w:val="002B26A5"/>
    <w:rsid w:val="002B3B44"/>
    <w:rsid w:val="002B3BF0"/>
    <w:rsid w:val="002B4D79"/>
    <w:rsid w:val="002C384E"/>
    <w:rsid w:val="002C4F9C"/>
    <w:rsid w:val="002D3761"/>
    <w:rsid w:val="002D4299"/>
    <w:rsid w:val="002D5E2F"/>
    <w:rsid w:val="002D6244"/>
    <w:rsid w:val="002D709B"/>
    <w:rsid w:val="002E16B3"/>
    <w:rsid w:val="002E3186"/>
    <w:rsid w:val="002F2B20"/>
    <w:rsid w:val="002F2E03"/>
    <w:rsid w:val="002F4F29"/>
    <w:rsid w:val="002F781D"/>
    <w:rsid w:val="00303387"/>
    <w:rsid w:val="003042E6"/>
    <w:rsid w:val="003048F0"/>
    <w:rsid w:val="0030525B"/>
    <w:rsid w:val="003118D3"/>
    <w:rsid w:val="00313C98"/>
    <w:rsid w:val="00314084"/>
    <w:rsid w:val="0031788B"/>
    <w:rsid w:val="0032081A"/>
    <w:rsid w:val="003211C6"/>
    <w:rsid w:val="003213B5"/>
    <w:rsid w:val="00321CB2"/>
    <w:rsid w:val="00323821"/>
    <w:rsid w:val="00324C18"/>
    <w:rsid w:val="00324D7D"/>
    <w:rsid w:val="0033001B"/>
    <w:rsid w:val="003322D0"/>
    <w:rsid w:val="0033322A"/>
    <w:rsid w:val="00336CE7"/>
    <w:rsid w:val="003371EF"/>
    <w:rsid w:val="00337427"/>
    <w:rsid w:val="00340BEF"/>
    <w:rsid w:val="0034211F"/>
    <w:rsid w:val="0034248E"/>
    <w:rsid w:val="003442C6"/>
    <w:rsid w:val="0034708A"/>
    <w:rsid w:val="003475FE"/>
    <w:rsid w:val="00351181"/>
    <w:rsid w:val="0035289C"/>
    <w:rsid w:val="0035440B"/>
    <w:rsid w:val="00355096"/>
    <w:rsid w:val="00355F7E"/>
    <w:rsid w:val="0036027E"/>
    <w:rsid w:val="003603EF"/>
    <w:rsid w:val="0036174C"/>
    <w:rsid w:val="00362657"/>
    <w:rsid w:val="0036302B"/>
    <w:rsid w:val="00370852"/>
    <w:rsid w:val="00371EF3"/>
    <w:rsid w:val="00372E11"/>
    <w:rsid w:val="00372E90"/>
    <w:rsid w:val="0037470C"/>
    <w:rsid w:val="00376559"/>
    <w:rsid w:val="00376C93"/>
    <w:rsid w:val="00380B18"/>
    <w:rsid w:val="003821AD"/>
    <w:rsid w:val="00384649"/>
    <w:rsid w:val="00385B53"/>
    <w:rsid w:val="00392086"/>
    <w:rsid w:val="0039505A"/>
    <w:rsid w:val="003A038C"/>
    <w:rsid w:val="003A1A0C"/>
    <w:rsid w:val="003A332D"/>
    <w:rsid w:val="003A4C32"/>
    <w:rsid w:val="003B3026"/>
    <w:rsid w:val="003B3669"/>
    <w:rsid w:val="003B5724"/>
    <w:rsid w:val="003C15F6"/>
    <w:rsid w:val="003D1A55"/>
    <w:rsid w:val="003D3F86"/>
    <w:rsid w:val="003D7446"/>
    <w:rsid w:val="003E1292"/>
    <w:rsid w:val="003E42C0"/>
    <w:rsid w:val="003E4AC3"/>
    <w:rsid w:val="003F1941"/>
    <w:rsid w:val="003F3F70"/>
    <w:rsid w:val="003F5406"/>
    <w:rsid w:val="003F7F59"/>
    <w:rsid w:val="004004E9"/>
    <w:rsid w:val="0040070C"/>
    <w:rsid w:val="0040248B"/>
    <w:rsid w:val="00402D8B"/>
    <w:rsid w:val="004059D3"/>
    <w:rsid w:val="00407334"/>
    <w:rsid w:val="00412061"/>
    <w:rsid w:val="0041644E"/>
    <w:rsid w:val="004168F2"/>
    <w:rsid w:val="0042003A"/>
    <w:rsid w:val="00423BB6"/>
    <w:rsid w:val="0042469F"/>
    <w:rsid w:val="0042502A"/>
    <w:rsid w:val="00432334"/>
    <w:rsid w:val="00434613"/>
    <w:rsid w:val="00440206"/>
    <w:rsid w:val="00445251"/>
    <w:rsid w:val="00447113"/>
    <w:rsid w:val="004510FD"/>
    <w:rsid w:val="004537B8"/>
    <w:rsid w:val="004537FC"/>
    <w:rsid w:val="00460A0C"/>
    <w:rsid w:val="00461959"/>
    <w:rsid w:val="0046312D"/>
    <w:rsid w:val="00466BE7"/>
    <w:rsid w:val="00471B3B"/>
    <w:rsid w:val="0047233E"/>
    <w:rsid w:val="00472412"/>
    <w:rsid w:val="00473EAD"/>
    <w:rsid w:val="0048012F"/>
    <w:rsid w:val="004808D4"/>
    <w:rsid w:val="004850A9"/>
    <w:rsid w:val="00485E13"/>
    <w:rsid w:val="00486DF4"/>
    <w:rsid w:val="00487E83"/>
    <w:rsid w:val="00491685"/>
    <w:rsid w:val="0049585A"/>
    <w:rsid w:val="00495B88"/>
    <w:rsid w:val="004967DA"/>
    <w:rsid w:val="00496F01"/>
    <w:rsid w:val="004A0EF2"/>
    <w:rsid w:val="004A1216"/>
    <w:rsid w:val="004A3A2E"/>
    <w:rsid w:val="004A3D0B"/>
    <w:rsid w:val="004B02FF"/>
    <w:rsid w:val="004B2552"/>
    <w:rsid w:val="004B3901"/>
    <w:rsid w:val="004C10E1"/>
    <w:rsid w:val="004C3683"/>
    <w:rsid w:val="004C3DA4"/>
    <w:rsid w:val="004C517E"/>
    <w:rsid w:val="004C5FC7"/>
    <w:rsid w:val="004D2664"/>
    <w:rsid w:val="004D27D4"/>
    <w:rsid w:val="004D7281"/>
    <w:rsid w:val="004D7323"/>
    <w:rsid w:val="004D7F71"/>
    <w:rsid w:val="004E1744"/>
    <w:rsid w:val="004E352C"/>
    <w:rsid w:val="004E70A5"/>
    <w:rsid w:val="004F0695"/>
    <w:rsid w:val="004F1DCF"/>
    <w:rsid w:val="004F69DF"/>
    <w:rsid w:val="004F72BB"/>
    <w:rsid w:val="00500ACB"/>
    <w:rsid w:val="005024DF"/>
    <w:rsid w:val="00504173"/>
    <w:rsid w:val="00512BE9"/>
    <w:rsid w:val="00513CA4"/>
    <w:rsid w:val="00515087"/>
    <w:rsid w:val="005151D6"/>
    <w:rsid w:val="0051585E"/>
    <w:rsid w:val="00515B88"/>
    <w:rsid w:val="00521C1D"/>
    <w:rsid w:val="0053233E"/>
    <w:rsid w:val="005331CD"/>
    <w:rsid w:val="00541E96"/>
    <w:rsid w:val="00543475"/>
    <w:rsid w:val="005466E0"/>
    <w:rsid w:val="00553A29"/>
    <w:rsid w:val="005544E8"/>
    <w:rsid w:val="005554BD"/>
    <w:rsid w:val="00556668"/>
    <w:rsid w:val="00557685"/>
    <w:rsid w:val="00561D2E"/>
    <w:rsid w:val="0056268B"/>
    <w:rsid w:val="00562B04"/>
    <w:rsid w:val="00562FA0"/>
    <w:rsid w:val="005641C4"/>
    <w:rsid w:val="00564B42"/>
    <w:rsid w:val="005667C5"/>
    <w:rsid w:val="00566D18"/>
    <w:rsid w:val="00567922"/>
    <w:rsid w:val="0057058E"/>
    <w:rsid w:val="00570CB5"/>
    <w:rsid w:val="005719EB"/>
    <w:rsid w:val="00573DD9"/>
    <w:rsid w:val="00574206"/>
    <w:rsid w:val="005819C0"/>
    <w:rsid w:val="0058225C"/>
    <w:rsid w:val="00584156"/>
    <w:rsid w:val="005861E9"/>
    <w:rsid w:val="005923A3"/>
    <w:rsid w:val="005924F7"/>
    <w:rsid w:val="00592FBC"/>
    <w:rsid w:val="00594354"/>
    <w:rsid w:val="00594516"/>
    <w:rsid w:val="00596625"/>
    <w:rsid w:val="005A5D12"/>
    <w:rsid w:val="005A6B51"/>
    <w:rsid w:val="005A730E"/>
    <w:rsid w:val="005B01F6"/>
    <w:rsid w:val="005B0B59"/>
    <w:rsid w:val="005B2690"/>
    <w:rsid w:val="005B3CE7"/>
    <w:rsid w:val="005B5431"/>
    <w:rsid w:val="005B5FA5"/>
    <w:rsid w:val="005B60CA"/>
    <w:rsid w:val="005C0DB7"/>
    <w:rsid w:val="005C63BB"/>
    <w:rsid w:val="005C7D88"/>
    <w:rsid w:val="005D0BB3"/>
    <w:rsid w:val="005D1B07"/>
    <w:rsid w:val="005D4834"/>
    <w:rsid w:val="005D61D0"/>
    <w:rsid w:val="005D7ABD"/>
    <w:rsid w:val="005F143E"/>
    <w:rsid w:val="005F424C"/>
    <w:rsid w:val="005F4455"/>
    <w:rsid w:val="005F5636"/>
    <w:rsid w:val="005F5743"/>
    <w:rsid w:val="00600BFD"/>
    <w:rsid w:val="00601268"/>
    <w:rsid w:val="006051E8"/>
    <w:rsid w:val="00606CE8"/>
    <w:rsid w:val="00610598"/>
    <w:rsid w:val="00611F3B"/>
    <w:rsid w:val="00614A02"/>
    <w:rsid w:val="00615FA8"/>
    <w:rsid w:val="006176B0"/>
    <w:rsid w:val="006208BA"/>
    <w:rsid w:val="00620D78"/>
    <w:rsid w:val="0062450E"/>
    <w:rsid w:val="00626A30"/>
    <w:rsid w:val="00630B30"/>
    <w:rsid w:val="006367DE"/>
    <w:rsid w:val="006554D5"/>
    <w:rsid w:val="006559C1"/>
    <w:rsid w:val="0065727A"/>
    <w:rsid w:val="00657B7C"/>
    <w:rsid w:val="006613B0"/>
    <w:rsid w:val="00662B63"/>
    <w:rsid w:val="00665D20"/>
    <w:rsid w:val="00667093"/>
    <w:rsid w:val="00667C7D"/>
    <w:rsid w:val="00672A06"/>
    <w:rsid w:val="006739C5"/>
    <w:rsid w:val="0067497F"/>
    <w:rsid w:val="00674F6F"/>
    <w:rsid w:val="006762BF"/>
    <w:rsid w:val="0068019A"/>
    <w:rsid w:val="00680F26"/>
    <w:rsid w:val="00682E34"/>
    <w:rsid w:val="00683C28"/>
    <w:rsid w:val="00684207"/>
    <w:rsid w:val="00686C81"/>
    <w:rsid w:val="00691A22"/>
    <w:rsid w:val="00694065"/>
    <w:rsid w:val="00695BE4"/>
    <w:rsid w:val="00696FF0"/>
    <w:rsid w:val="006A0FF1"/>
    <w:rsid w:val="006A25B1"/>
    <w:rsid w:val="006A2634"/>
    <w:rsid w:val="006A2A85"/>
    <w:rsid w:val="006A547C"/>
    <w:rsid w:val="006B0F87"/>
    <w:rsid w:val="006B5397"/>
    <w:rsid w:val="006B6011"/>
    <w:rsid w:val="006B62D2"/>
    <w:rsid w:val="006C41BC"/>
    <w:rsid w:val="006C4B4F"/>
    <w:rsid w:val="006C4D3E"/>
    <w:rsid w:val="006C6DD8"/>
    <w:rsid w:val="006C70F8"/>
    <w:rsid w:val="006D095C"/>
    <w:rsid w:val="006D228F"/>
    <w:rsid w:val="006D2DEE"/>
    <w:rsid w:val="006D36D1"/>
    <w:rsid w:val="006D43AA"/>
    <w:rsid w:val="006D46D7"/>
    <w:rsid w:val="006E2C3C"/>
    <w:rsid w:val="006E60E3"/>
    <w:rsid w:val="006E6C72"/>
    <w:rsid w:val="006F1501"/>
    <w:rsid w:val="006F5DAC"/>
    <w:rsid w:val="006F65F3"/>
    <w:rsid w:val="007049B3"/>
    <w:rsid w:val="00715AC9"/>
    <w:rsid w:val="00715CF6"/>
    <w:rsid w:val="00717989"/>
    <w:rsid w:val="00723F78"/>
    <w:rsid w:val="00724543"/>
    <w:rsid w:val="00727CEE"/>
    <w:rsid w:val="00734B87"/>
    <w:rsid w:val="00736E6C"/>
    <w:rsid w:val="007457FF"/>
    <w:rsid w:val="00747937"/>
    <w:rsid w:val="00750320"/>
    <w:rsid w:val="007517BF"/>
    <w:rsid w:val="007523A8"/>
    <w:rsid w:val="007568DD"/>
    <w:rsid w:val="00757758"/>
    <w:rsid w:val="00760C34"/>
    <w:rsid w:val="00765B57"/>
    <w:rsid w:val="0076643B"/>
    <w:rsid w:val="00766538"/>
    <w:rsid w:val="00766D77"/>
    <w:rsid w:val="007711AF"/>
    <w:rsid w:val="007743F7"/>
    <w:rsid w:val="00774B2E"/>
    <w:rsid w:val="00776077"/>
    <w:rsid w:val="0078060E"/>
    <w:rsid w:val="0078084B"/>
    <w:rsid w:val="00781233"/>
    <w:rsid w:val="00784D41"/>
    <w:rsid w:val="00785C41"/>
    <w:rsid w:val="00786592"/>
    <w:rsid w:val="00787427"/>
    <w:rsid w:val="00787E6A"/>
    <w:rsid w:val="0079081F"/>
    <w:rsid w:val="00795C4D"/>
    <w:rsid w:val="00796478"/>
    <w:rsid w:val="00797056"/>
    <w:rsid w:val="007A0580"/>
    <w:rsid w:val="007A266F"/>
    <w:rsid w:val="007A3D9B"/>
    <w:rsid w:val="007A52A1"/>
    <w:rsid w:val="007A5842"/>
    <w:rsid w:val="007A5D2A"/>
    <w:rsid w:val="007A5D32"/>
    <w:rsid w:val="007B4469"/>
    <w:rsid w:val="007B4C9A"/>
    <w:rsid w:val="007C2028"/>
    <w:rsid w:val="007C2CFA"/>
    <w:rsid w:val="007C5478"/>
    <w:rsid w:val="007D203C"/>
    <w:rsid w:val="007D2ED4"/>
    <w:rsid w:val="007D3478"/>
    <w:rsid w:val="007D442E"/>
    <w:rsid w:val="007D55BB"/>
    <w:rsid w:val="007D5931"/>
    <w:rsid w:val="007E0BD0"/>
    <w:rsid w:val="007E2BBE"/>
    <w:rsid w:val="007E3E40"/>
    <w:rsid w:val="007F226A"/>
    <w:rsid w:val="007F2C07"/>
    <w:rsid w:val="007F3BBE"/>
    <w:rsid w:val="007F6AC5"/>
    <w:rsid w:val="0080106C"/>
    <w:rsid w:val="008026A2"/>
    <w:rsid w:val="00803873"/>
    <w:rsid w:val="00805731"/>
    <w:rsid w:val="008121A4"/>
    <w:rsid w:val="0081399F"/>
    <w:rsid w:val="008160C0"/>
    <w:rsid w:val="00816A96"/>
    <w:rsid w:val="00827EF7"/>
    <w:rsid w:val="008309F2"/>
    <w:rsid w:val="00832808"/>
    <w:rsid w:val="008335D3"/>
    <w:rsid w:val="00834685"/>
    <w:rsid w:val="00835FDA"/>
    <w:rsid w:val="00836DFF"/>
    <w:rsid w:val="00844BE0"/>
    <w:rsid w:val="00845188"/>
    <w:rsid w:val="008461BD"/>
    <w:rsid w:val="0085249D"/>
    <w:rsid w:val="00852BEE"/>
    <w:rsid w:val="00854CFF"/>
    <w:rsid w:val="00857A76"/>
    <w:rsid w:val="00861506"/>
    <w:rsid w:val="008672D2"/>
    <w:rsid w:val="008673E2"/>
    <w:rsid w:val="00870753"/>
    <w:rsid w:val="00872C93"/>
    <w:rsid w:val="00874CA1"/>
    <w:rsid w:val="0088053A"/>
    <w:rsid w:val="00884183"/>
    <w:rsid w:val="00890BE2"/>
    <w:rsid w:val="0089686E"/>
    <w:rsid w:val="008A011F"/>
    <w:rsid w:val="008A3331"/>
    <w:rsid w:val="008A3864"/>
    <w:rsid w:val="008A4FAD"/>
    <w:rsid w:val="008A52A8"/>
    <w:rsid w:val="008A5955"/>
    <w:rsid w:val="008A6A18"/>
    <w:rsid w:val="008B01AC"/>
    <w:rsid w:val="008B0DA7"/>
    <w:rsid w:val="008B161F"/>
    <w:rsid w:val="008B2C78"/>
    <w:rsid w:val="008B4116"/>
    <w:rsid w:val="008B5724"/>
    <w:rsid w:val="008C2142"/>
    <w:rsid w:val="008C2BB4"/>
    <w:rsid w:val="008C621D"/>
    <w:rsid w:val="008C7DAF"/>
    <w:rsid w:val="008D2C37"/>
    <w:rsid w:val="008D46CF"/>
    <w:rsid w:val="008D58D0"/>
    <w:rsid w:val="008D6724"/>
    <w:rsid w:val="008E0ACD"/>
    <w:rsid w:val="008E2C9D"/>
    <w:rsid w:val="008E302C"/>
    <w:rsid w:val="008F007B"/>
    <w:rsid w:val="008F3D33"/>
    <w:rsid w:val="008F5764"/>
    <w:rsid w:val="008F58A9"/>
    <w:rsid w:val="008F641D"/>
    <w:rsid w:val="00901E7D"/>
    <w:rsid w:val="009031F0"/>
    <w:rsid w:val="009065E6"/>
    <w:rsid w:val="00912010"/>
    <w:rsid w:val="00915709"/>
    <w:rsid w:val="00921EF7"/>
    <w:rsid w:val="00924FB7"/>
    <w:rsid w:val="00936058"/>
    <w:rsid w:val="009449C4"/>
    <w:rsid w:val="009454BE"/>
    <w:rsid w:val="00947FF9"/>
    <w:rsid w:val="00950297"/>
    <w:rsid w:val="0095137F"/>
    <w:rsid w:val="0095466E"/>
    <w:rsid w:val="00956F46"/>
    <w:rsid w:val="00960416"/>
    <w:rsid w:val="00960C08"/>
    <w:rsid w:val="009647B3"/>
    <w:rsid w:val="00966A85"/>
    <w:rsid w:val="00966D01"/>
    <w:rsid w:val="00967DA0"/>
    <w:rsid w:val="00971B6B"/>
    <w:rsid w:val="009741E0"/>
    <w:rsid w:val="00976553"/>
    <w:rsid w:val="00976E2E"/>
    <w:rsid w:val="00976E8C"/>
    <w:rsid w:val="00981387"/>
    <w:rsid w:val="00987399"/>
    <w:rsid w:val="00987ED3"/>
    <w:rsid w:val="00990150"/>
    <w:rsid w:val="00990F12"/>
    <w:rsid w:val="009962EC"/>
    <w:rsid w:val="009969DB"/>
    <w:rsid w:val="009969E8"/>
    <w:rsid w:val="009A2188"/>
    <w:rsid w:val="009A61D9"/>
    <w:rsid w:val="009A6DBF"/>
    <w:rsid w:val="009B1446"/>
    <w:rsid w:val="009B6FEF"/>
    <w:rsid w:val="009C2CA3"/>
    <w:rsid w:val="009C37E7"/>
    <w:rsid w:val="009C5D0C"/>
    <w:rsid w:val="009D0CCB"/>
    <w:rsid w:val="009D0EF0"/>
    <w:rsid w:val="009D2593"/>
    <w:rsid w:val="009D25F1"/>
    <w:rsid w:val="009D2CA5"/>
    <w:rsid w:val="009D3FF3"/>
    <w:rsid w:val="009E2A00"/>
    <w:rsid w:val="009E3580"/>
    <w:rsid w:val="009E51A4"/>
    <w:rsid w:val="009F0831"/>
    <w:rsid w:val="009F1454"/>
    <w:rsid w:val="009F21ED"/>
    <w:rsid w:val="009F3C01"/>
    <w:rsid w:val="009F6630"/>
    <w:rsid w:val="00A023A3"/>
    <w:rsid w:val="00A029A5"/>
    <w:rsid w:val="00A0384F"/>
    <w:rsid w:val="00A03B1C"/>
    <w:rsid w:val="00A043FB"/>
    <w:rsid w:val="00A07476"/>
    <w:rsid w:val="00A077D9"/>
    <w:rsid w:val="00A104EA"/>
    <w:rsid w:val="00A11AC2"/>
    <w:rsid w:val="00A13EE8"/>
    <w:rsid w:val="00A1475A"/>
    <w:rsid w:val="00A150D6"/>
    <w:rsid w:val="00A154F5"/>
    <w:rsid w:val="00A156E6"/>
    <w:rsid w:val="00A16173"/>
    <w:rsid w:val="00A16853"/>
    <w:rsid w:val="00A20793"/>
    <w:rsid w:val="00A213D9"/>
    <w:rsid w:val="00A241CF"/>
    <w:rsid w:val="00A2680B"/>
    <w:rsid w:val="00A278EC"/>
    <w:rsid w:val="00A27DBA"/>
    <w:rsid w:val="00A30230"/>
    <w:rsid w:val="00A32CB5"/>
    <w:rsid w:val="00A34F07"/>
    <w:rsid w:val="00A37CFB"/>
    <w:rsid w:val="00A37F74"/>
    <w:rsid w:val="00A438E7"/>
    <w:rsid w:val="00A4637D"/>
    <w:rsid w:val="00A55743"/>
    <w:rsid w:val="00A6034F"/>
    <w:rsid w:val="00A61695"/>
    <w:rsid w:val="00A61E22"/>
    <w:rsid w:val="00A62EF7"/>
    <w:rsid w:val="00A6320A"/>
    <w:rsid w:val="00A65E33"/>
    <w:rsid w:val="00A668C6"/>
    <w:rsid w:val="00A71411"/>
    <w:rsid w:val="00A716CB"/>
    <w:rsid w:val="00A72E9B"/>
    <w:rsid w:val="00A7348B"/>
    <w:rsid w:val="00A748A9"/>
    <w:rsid w:val="00A81F16"/>
    <w:rsid w:val="00A83C49"/>
    <w:rsid w:val="00A83EC7"/>
    <w:rsid w:val="00A90775"/>
    <w:rsid w:val="00A911CB"/>
    <w:rsid w:val="00A918EC"/>
    <w:rsid w:val="00A93DF0"/>
    <w:rsid w:val="00A96103"/>
    <w:rsid w:val="00A96DAF"/>
    <w:rsid w:val="00A96E43"/>
    <w:rsid w:val="00A97254"/>
    <w:rsid w:val="00AA1D08"/>
    <w:rsid w:val="00AA21E4"/>
    <w:rsid w:val="00AA63B1"/>
    <w:rsid w:val="00AA6781"/>
    <w:rsid w:val="00AA6FF2"/>
    <w:rsid w:val="00AB1FB5"/>
    <w:rsid w:val="00AB6DE3"/>
    <w:rsid w:val="00AB6EAC"/>
    <w:rsid w:val="00AB7B13"/>
    <w:rsid w:val="00AB7DF6"/>
    <w:rsid w:val="00AC3071"/>
    <w:rsid w:val="00AC3D92"/>
    <w:rsid w:val="00AC3EA9"/>
    <w:rsid w:val="00AC7BDD"/>
    <w:rsid w:val="00AD2E35"/>
    <w:rsid w:val="00AD4AF5"/>
    <w:rsid w:val="00AE1179"/>
    <w:rsid w:val="00AE14DE"/>
    <w:rsid w:val="00AE3A11"/>
    <w:rsid w:val="00AE600B"/>
    <w:rsid w:val="00AF01A6"/>
    <w:rsid w:val="00AF0D23"/>
    <w:rsid w:val="00AF1E44"/>
    <w:rsid w:val="00AF22BD"/>
    <w:rsid w:val="00AF33A2"/>
    <w:rsid w:val="00AF3D63"/>
    <w:rsid w:val="00AF4966"/>
    <w:rsid w:val="00AF568A"/>
    <w:rsid w:val="00B014F2"/>
    <w:rsid w:val="00B048D0"/>
    <w:rsid w:val="00B04AD8"/>
    <w:rsid w:val="00B05ECC"/>
    <w:rsid w:val="00B064A0"/>
    <w:rsid w:val="00B11188"/>
    <w:rsid w:val="00B11F6A"/>
    <w:rsid w:val="00B15FAA"/>
    <w:rsid w:val="00B162F2"/>
    <w:rsid w:val="00B16C23"/>
    <w:rsid w:val="00B231AA"/>
    <w:rsid w:val="00B253B2"/>
    <w:rsid w:val="00B26C51"/>
    <w:rsid w:val="00B30886"/>
    <w:rsid w:val="00B313A5"/>
    <w:rsid w:val="00B3567D"/>
    <w:rsid w:val="00B357A3"/>
    <w:rsid w:val="00B41F34"/>
    <w:rsid w:val="00B428DA"/>
    <w:rsid w:val="00B44290"/>
    <w:rsid w:val="00B44EAE"/>
    <w:rsid w:val="00B46E4B"/>
    <w:rsid w:val="00B479D3"/>
    <w:rsid w:val="00B50463"/>
    <w:rsid w:val="00B57647"/>
    <w:rsid w:val="00B6262D"/>
    <w:rsid w:val="00B64C43"/>
    <w:rsid w:val="00B6753E"/>
    <w:rsid w:val="00B71E56"/>
    <w:rsid w:val="00B7545E"/>
    <w:rsid w:val="00B77308"/>
    <w:rsid w:val="00B8204D"/>
    <w:rsid w:val="00B8522D"/>
    <w:rsid w:val="00B85413"/>
    <w:rsid w:val="00B86CCD"/>
    <w:rsid w:val="00B876A1"/>
    <w:rsid w:val="00B920BA"/>
    <w:rsid w:val="00B92107"/>
    <w:rsid w:val="00B94D04"/>
    <w:rsid w:val="00B970D8"/>
    <w:rsid w:val="00BA0521"/>
    <w:rsid w:val="00BA203B"/>
    <w:rsid w:val="00BA2E72"/>
    <w:rsid w:val="00BA3456"/>
    <w:rsid w:val="00BA3487"/>
    <w:rsid w:val="00BA4614"/>
    <w:rsid w:val="00BA5C5A"/>
    <w:rsid w:val="00BB0978"/>
    <w:rsid w:val="00BB7797"/>
    <w:rsid w:val="00BC1E1D"/>
    <w:rsid w:val="00BD1146"/>
    <w:rsid w:val="00BD395C"/>
    <w:rsid w:val="00BD4DBE"/>
    <w:rsid w:val="00BD5877"/>
    <w:rsid w:val="00BD5D19"/>
    <w:rsid w:val="00BD7EDE"/>
    <w:rsid w:val="00BE0F64"/>
    <w:rsid w:val="00BE26DB"/>
    <w:rsid w:val="00BE2F04"/>
    <w:rsid w:val="00BE3E68"/>
    <w:rsid w:val="00BE575D"/>
    <w:rsid w:val="00BF6CD5"/>
    <w:rsid w:val="00BF73D7"/>
    <w:rsid w:val="00BF74CF"/>
    <w:rsid w:val="00C01B97"/>
    <w:rsid w:val="00C02550"/>
    <w:rsid w:val="00C0255C"/>
    <w:rsid w:val="00C06C0B"/>
    <w:rsid w:val="00C12123"/>
    <w:rsid w:val="00C218D9"/>
    <w:rsid w:val="00C22A5B"/>
    <w:rsid w:val="00C25A82"/>
    <w:rsid w:val="00C30C65"/>
    <w:rsid w:val="00C32BA7"/>
    <w:rsid w:val="00C35318"/>
    <w:rsid w:val="00C37259"/>
    <w:rsid w:val="00C44F15"/>
    <w:rsid w:val="00C46156"/>
    <w:rsid w:val="00C463AF"/>
    <w:rsid w:val="00C46847"/>
    <w:rsid w:val="00C50FB1"/>
    <w:rsid w:val="00C51C22"/>
    <w:rsid w:val="00C52005"/>
    <w:rsid w:val="00C55E2F"/>
    <w:rsid w:val="00C57A6D"/>
    <w:rsid w:val="00C64BEF"/>
    <w:rsid w:val="00C832EF"/>
    <w:rsid w:val="00C86A0B"/>
    <w:rsid w:val="00C875C6"/>
    <w:rsid w:val="00C914AF"/>
    <w:rsid w:val="00C9404C"/>
    <w:rsid w:val="00CA00DF"/>
    <w:rsid w:val="00CA3BFC"/>
    <w:rsid w:val="00CB08BF"/>
    <w:rsid w:val="00CB1AF7"/>
    <w:rsid w:val="00CB34E4"/>
    <w:rsid w:val="00CB5548"/>
    <w:rsid w:val="00CC1190"/>
    <w:rsid w:val="00CC307B"/>
    <w:rsid w:val="00CC70D2"/>
    <w:rsid w:val="00CD0BBB"/>
    <w:rsid w:val="00CD2DC2"/>
    <w:rsid w:val="00CE1A2F"/>
    <w:rsid w:val="00CE1A9A"/>
    <w:rsid w:val="00CE3966"/>
    <w:rsid w:val="00CE6C44"/>
    <w:rsid w:val="00CE7DD1"/>
    <w:rsid w:val="00CF2F60"/>
    <w:rsid w:val="00CF6B7E"/>
    <w:rsid w:val="00D00555"/>
    <w:rsid w:val="00D01B8A"/>
    <w:rsid w:val="00D0339B"/>
    <w:rsid w:val="00D03FA2"/>
    <w:rsid w:val="00D04297"/>
    <w:rsid w:val="00D04FA9"/>
    <w:rsid w:val="00D06481"/>
    <w:rsid w:val="00D06AA3"/>
    <w:rsid w:val="00D16086"/>
    <w:rsid w:val="00D177B7"/>
    <w:rsid w:val="00D232C0"/>
    <w:rsid w:val="00D23924"/>
    <w:rsid w:val="00D23A94"/>
    <w:rsid w:val="00D26151"/>
    <w:rsid w:val="00D319CB"/>
    <w:rsid w:val="00D32148"/>
    <w:rsid w:val="00D33439"/>
    <w:rsid w:val="00D34E31"/>
    <w:rsid w:val="00D35043"/>
    <w:rsid w:val="00D35C16"/>
    <w:rsid w:val="00D35D2C"/>
    <w:rsid w:val="00D40568"/>
    <w:rsid w:val="00D40D0F"/>
    <w:rsid w:val="00D41873"/>
    <w:rsid w:val="00D42573"/>
    <w:rsid w:val="00D4486B"/>
    <w:rsid w:val="00D44FAD"/>
    <w:rsid w:val="00D47210"/>
    <w:rsid w:val="00D55ADD"/>
    <w:rsid w:val="00D63575"/>
    <w:rsid w:val="00D648E2"/>
    <w:rsid w:val="00D71F9A"/>
    <w:rsid w:val="00D735A6"/>
    <w:rsid w:val="00D73DF0"/>
    <w:rsid w:val="00D74B48"/>
    <w:rsid w:val="00D8040F"/>
    <w:rsid w:val="00D8676F"/>
    <w:rsid w:val="00D86BAA"/>
    <w:rsid w:val="00D87D82"/>
    <w:rsid w:val="00D92202"/>
    <w:rsid w:val="00D958BE"/>
    <w:rsid w:val="00DA3CC0"/>
    <w:rsid w:val="00DA4999"/>
    <w:rsid w:val="00DA6277"/>
    <w:rsid w:val="00DB280A"/>
    <w:rsid w:val="00DB2AAB"/>
    <w:rsid w:val="00DB4933"/>
    <w:rsid w:val="00DB5E0B"/>
    <w:rsid w:val="00DB7172"/>
    <w:rsid w:val="00DB7727"/>
    <w:rsid w:val="00DC1596"/>
    <w:rsid w:val="00DC2082"/>
    <w:rsid w:val="00DC753A"/>
    <w:rsid w:val="00DD025C"/>
    <w:rsid w:val="00DD0666"/>
    <w:rsid w:val="00DD173E"/>
    <w:rsid w:val="00DD1801"/>
    <w:rsid w:val="00DD5A63"/>
    <w:rsid w:val="00DE22F5"/>
    <w:rsid w:val="00DE308B"/>
    <w:rsid w:val="00DE76AB"/>
    <w:rsid w:val="00DF0156"/>
    <w:rsid w:val="00DF0834"/>
    <w:rsid w:val="00DF0C1E"/>
    <w:rsid w:val="00DF12AE"/>
    <w:rsid w:val="00DF157E"/>
    <w:rsid w:val="00DF3551"/>
    <w:rsid w:val="00DF45F5"/>
    <w:rsid w:val="00DF6C56"/>
    <w:rsid w:val="00E056AA"/>
    <w:rsid w:val="00E05830"/>
    <w:rsid w:val="00E07C68"/>
    <w:rsid w:val="00E1020A"/>
    <w:rsid w:val="00E125C2"/>
    <w:rsid w:val="00E13A0C"/>
    <w:rsid w:val="00E14247"/>
    <w:rsid w:val="00E16C70"/>
    <w:rsid w:val="00E20480"/>
    <w:rsid w:val="00E20D73"/>
    <w:rsid w:val="00E30250"/>
    <w:rsid w:val="00E3111F"/>
    <w:rsid w:val="00E350F1"/>
    <w:rsid w:val="00E428D7"/>
    <w:rsid w:val="00E50241"/>
    <w:rsid w:val="00E511F3"/>
    <w:rsid w:val="00E52542"/>
    <w:rsid w:val="00E52C33"/>
    <w:rsid w:val="00E542FC"/>
    <w:rsid w:val="00E54B2C"/>
    <w:rsid w:val="00E55FE3"/>
    <w:rsid w:val="00E6173C"/>
    <w:rsid w:val="00E62202"/>
    <w:rsid w:val="00E6484F"/>
    <w:rsid w:val="00E7016E"/>
    <w:rsid w:val="00E70213"/>
    <w:rsid w:val="00E73939"/>
    <w:rsid w:val="00E77ED3"/>
    <w:rsid w:val="00E8040C"/>
    <w:rsid w:val="00E85588"/>
    <w:rsid w:val="00E8623A"/>
    <w:rsid w:val="00E86436"/>
    <w:rsid w:val="00E8656D"/>
    <w:rsid w:val="00E94665"/>
    <w:rsid w:val="00E9604F"/>
    <w:rsid w:val="00E9767C"/>
    <w:rsid w:val="00EA14D5"/>
    <w:rsid w:val="00EA16B3"/>
    <w:rsid w:val="00EA26FF"/>
    <w:rsid w:val="00EB05BA"/>
    <w:rsid w:val="00EB54D7"/>
    <w:rsid w:val="00EB6D73"/>
    <w:rsid w:val="00EC40D4"/>
    <w:rsid w:val="00EC4271"/>
    <w:rsid w:val="00ED028C"/>
    <w:rsid w:val="00ED289A"/>
    <w:rsid w:val="00ED2B58"/>
    <w:rsid w:val="00ED72A7"/>
    <w:rsid w:val="00ED7FA6"/>
    <w:rsid w:val="00EE343E"/>
    <w:rsid w:val="00EF65B2"/>
    <w:rsid w:val="00EF7A02"/>
    <w:rsid w:val="00F02D12"/>
    <w:rsid w:val="00F12891"/>
    <w:rsid w:val="00F1455D"/>
    <w:rsid w:val="00F1487B"/>
    <w:rsid w:val="00F15DE3"/>
    <w:rsid w:val="00F16CAF"/>
    <w:rsid w:val="00F17030"/>
    <w:rsid w:val="00F21C54"/>
    <w:rsid w:val="00F22519"/>
    <w:rsid w:val="00F225BD"/>
    <w:rsid w:val="00F233ED"/>
    <w:rsid w:val="00F252A2"/>
    <w:rsid w:val="00F339A1"/>
    <w:rsid w:val="00F369D8"/>
    <w:rsid w:val="00F375D1"/>
    <w:rsid w:val="00F4028B"/>
    <w:rsid w:val="00F405DE"/>
    <w:rsid w:val="00F40C1C"/>
    <w:rsid w:val="00F41B5E"/>
    <w:rsid w:val="00F43C5C"/>
    <w:rsid w:val="00F44470"/>
    <w:rsid w:val="00F44E2F"/>
    <w:rsid w:val="00F45344"/>
    <w:rsid w:val="00F46A24"/>
    <w:rsid w:val="00F472C5"/>
    <w:rsid w:val="00F474EB"/>
    <w:rsid w:val="00F50711"/>
    <w:rsid w:val="00F51784"/>
    <w:rsid w:val="00F54D22"/>
    <w:rsid w:val="00F56C7E"/>
    <w:rsid w:val="00F570B4"/>
    <w:rsid w:val="00F60D8F"/>
    <w:rsid w:val="00F63300"/>
    <w:rsid w:val="00F6511E"/>
    <w:rsid w:val="00F67CCA"/>
    <w:rsid w:val="00F71128"/>
    <w:rsid w:val="00F71900"/>
    <w:rsid w:val="00F71B8B"/>
    <w:rsid w:val="00F7218A"/>
    <w:rsid w:val="00F743F2"/>
    <w:rsid w:val="00F7549E"/>
    <w:rsid w:val="00F766B1"/>
    <w:rsid w:val="00F76BDA"/>
    <w:rsid w:val="00F7706F"/>
    <w:rsid w:val="00F83BEC"/>
    <w:rsid w:val="00F84353"/>
    <w:rsid w:val="00F84499"/>
    <w:rsid w:val="00F852C6"/>
    <w:rsid w:val="00F863ED"/>
    <w:rsid w:val="00F900E9"/>
    <w:rsid w:val="00F90A8C"/>
    <w:rsid w:val="00F9218C"/>
    <w:rsid w:val="00F9270C"/>
    <w:rsid w:val="00F929DB"/>
    <w:rsid w:val="00F94324"/>
    <w:rsid w:val="00F96DB7"/>
    <w:rsid w:val="00F971C1"/>
    <w:rsid w:val="00F979AB"/>
    <w:rsid w:val="00FA00D6"/>
    <w:rsid w:val="00FA1267"/>
    <w:rsid w:val="00FA12A6"/>
    <w:rsid w:val="00FA199E"/>
    <w:rsid w:val="00FA299A"/>
    <w:rsid w:val="00FB4A7D"/>
    <w:rsid w:val="00FB7B4B"/>
    <w:rsid w:val="00FB7FC1"/>
    <w:rsid w:val="00FC20B2"/>
    <w:rsid w:val="00FC496D"/>
    <w:rsid w:val="00FC49C2"/>
    <w:rsid w:val="00FC6CB8"/>
    <w:rsid w:val="00FD21D0"/>
    <w:rsid w:val="00FD32E1"/>
    <w:rsid w:val="00FD613F"/>
    <w:rsid w:val="00FE26F8"/>
    <w:rsid w:val="00FE36AB"/>
    <w:rsid w:val="00FE3A6B"/>
    <w:rsid w:val="00FE3D95"/>
    <w:rsid w:val="00FE4A81"/>
    <w:rsid w:val="00FE6799"/>
    <w:rsid w:val="00FE6C74"/>
    <w:rsid w:val="00FF34C7"/>
    <w:rsid w:val="010B2275"/>
    <w:rsid w:val="017D5DD5"/>
    <w:rsid w:val="018B585B"/>
    <w:rsid w:val="03C07B2B"/>
    <w:rsid w:val="04CD8501"/>
    <w:rsid w:val="05A130F7"/>
    <w:rsid w:val="0670D450"/>
    <w:rsid w:val="06851446"/>
    <w:rsid w:val="06A5371B"/>
    <w:rsid w:val="07CBB922"/>
    <w:rsid w:val="0877928B"/>
    <w:rsid w:val="08C65CD1"/>
    <w:rsid w:val="09602372"/>
    <w:rsid w:val="09DB3410"/>
    <w:rsid w:val="0ADEA045"/>
    <w:rsid w:val="0C2AB839"/>
    <w:rsid w:val="0D1B7644"/>
    <w:rsid w:val="0D2CC64C"/>
    <w:rsid w:val="0D8C5828"/>
    <w:rsid w:val="0DA73BB6"/>
    <w:rsid w:val="0ECFBA5E"/>
    <w:rsid w:val="0F048E99"/>
    <w:rsid w:val="0F1F0F10"/>
    <w:rsid w:val="0F5AB3AF"/>
    <w:rsid w:val="1011A0CE"/>
    <w:rsid w:val="10B3DC33"/>
    <w:rsid w:val="10CD2AEC"/>
    <w:rsid w:val="115FA77E"/>
    <w:rsid w:val="118BBD5B"/>
    <w:rsid w:val="11D59D67"/>
    <w:rsid w:val="12606364"/>
    <w:rsid w:val="128B9DD7"/>
    <w:rsid w:val="137AE4D1"/>
    <w:rsid w:val="17333951"/>
    <w:rsid w:val="1733FDB6"/>
    <w:rsid w:val="173E8F2C"/>
    <w:rsid w:val="18FFB627"/>
    <w:rsid w:val="19D58960"/>
    <w:rsid w:val="19D65A60"/>
    <w:rsid w:val="1A6A1CBD"/>
    <w:rsid w:val="1B3F48E1"/>
    <w:rsid w:val="1B7B1466"/>
    <w:rsid w:val="1C4F619E"/>
    <w:rsid w:val="1C6C85FC"/>
    <w:rsid w:val="1CA02E8A"/>
    <w:rsid w:val="1CA7D9E0"/>
    <w:rsid w:val="1CA9EBAB"/>
    <w:rsid w:val="1D3C281A"/>
    <w:rsid w:val="1DA03344"/>
    <w:rsid w:val="1EDE362E"/>
    <w:rsid w:val="1EE1FCA4"/>
    <w:rsid w:val="1F96CE9F"/>
    <w:rsid w:val="1FA30677"/>
    <w:rsid w:val="2178CA3D"/>
    <w:rsid w:val="21A16327"/>
    <w:rsid w:val="22432D91"/>
    <w:rsid w:val="2330806A"/>
    <w:rsid w:val="2556C7CC"/>
    <w:rsid w:val="25B1F40F"/>
    <w:rsid w:val="269D5672"/>
    <w:rsid w:val="26D1B9E4"/>
    <w:rsid w:val="27BB8A36"/>
    <w:rsid w:val="27CA81D1"/>
    <w:rsid w:val="2866EBEE"/>
    <w:rsid w:val="294F1817"/>
    <w:rsid w:val="2A5429B1"/>
    <w:rsid w:val="2AEC5759"/>
    <w:rsid w:val="2B650D11"/>
    <w:rsid w:val="2CD9A2D8"/>
    <w:rsid w:val="2D3B557A"/>
    <w:rsid w:val="2DD04EC7"/>
    <w:rsid w:val="2E2196E7"/>
    <w:rsid w:val="2E602C52"/>
    <w:rsid w:val="2F3C9D11"/>
    <w:rsid w:val="308378CB"/>
    <w:rsid w:val="31C624EA"/>
    <w:rsid w:val="32443AE8"/>
    <w:rsid w:val="325E10E8"/>
    <w:rsid w:val="32A73DEA"/>
    <w:rsid w:val="3315BFBC"/>
    <w:rsid w:val="335B4507"/>
    <w:rsid w:val="335EFEF4"/>
    <w:rsid w:val="33A865A9"/>
    <w:rsid w:val="33C7281B"/>
    <w:rsid w:val="34214049"/>
    <w:rsid w:val="34D5DFD9"/>
    <w:rsid w:val="3534F32F"/>
    <w:rsid w:val="35F5B26D"/>
    <w:rsid w:val="362CC7BD"/>
    <w:rsid w:val="364D4937"/>
    <w:rsid w:val="36E832D7"/>
    <w:rsid w:val="3760DD2F"/>
    <w:rsid w:val="3773B42F"/>
    <w:rsid w:val="3895F3A9"/>
    <w:rsid w:val="39D288D7"/>
    <w:rsid w:val="39DEAEDA"/>
    <w:rsid w:val="3CE31772"/>
    <w:rsid w:val="3D05F23B"/>
    <w:rsid w:val="3D76D758"/>
    <w:rsid w:val="3DA4F92F"/>
    <w:rsid w:val="3FDC77E1"/>
    <w:rsid w:val="40087511"/>
    <w:rsid w:val="423BAB1D"/>
    <w:rsid w:val="427B2E98"/>
    <w:rsid w:val="43CE7824"/>
    <w:rsid w:val="449DBFA1"/>
    <w:rsid w:val="44BA222A"/>
    <w:rsid w:val="44BD9B57"/>
    <w:rsid w:val="45AADBD1"/>
    <w:rsid w:val="45C5CE3B"/>
    <w:rsid w:val="4667AABD"/>
    <w:rsid w:val="4681107D"/>
    <w:rsid w:val="4697895C"/>
    <w:rsid w:val="469A52B8"/>
    <w:rsid w:val="4819F116"/>
    <w:rsid w:val="48B41729"/>
    <w:rsid w:val="4924784E"/>
    <w:rsid w:val="49343937"/>
    <w:rsid w:val="4939A996"/>
    <w:rsid w:val="49F15F04"/>
    <w:rsid w:val="4A1119DE"/>
    <w:rsid w:val="4AE5F31D"/>
    <w:rsid w:val="4B68D2AE"/>
    <w:rsid w:val="4B81606C"/>
    <w:rsid w:val="4B9609BF"/>
    <w:rsid w:val="4CD968CE"/>
    <w:rsid w:val="4CECEB5A"/>
    <w:rsid w:val="4DAECE23"/>
    <w:rsid w:val="4EFA0939"/>
    <w:rsid w:val="4F17EC93"/>
    <w:rsid w:val="4F9ED2A8"/>
    <w:rsid w:val="4FAC5F7A"/>
    <w:rsid w:val="50591713"/>
    <w:rsid w:val="50AD5198"/>
    <w:rsid w:val="51706589"/>
    <w:rsid w:val="518AE033"/>
    <w:rsid w:val="5207A6C5"/>
    <w:rsid w:val="5239F31A"/>
    <w:rsid w:val="53740787"/>
    <w:rsid w:val="53EAA2B0"/>
    <w:rsid w:val="549BE5E1"/>
    <w:rsid w:val="573D3622"/>
    <w:rsid w:val="57B18396"/>
    <w:rsid w:val="58967A6C"/>
    <w:rsid w:val="5BC262A9"/>
    <w:rsid w:val="5BE71FE2"/>
    <w:rsid w:val="5CBB6CA2"/>
    <w:rsid w:val="5CE67DD3"/>
    <w:rsid w:val="5D6EAB0E"/>
    <w:rsid w:val="5D8D9F16"/>
    <w:rsid w:val="5E549B9B"/>
    <w:rsid w:val="608FA057"/>
    <w:rsid w:val="610363F7"/>
    <w:rsid w:val="612F5E81"/>
    <w:rsid w:val="61EEC7BD"/>
    <w:rsid w:val="62B635E3"/>
    <w:rsid w:val="63767541"/>
    <w:rsid w:val="645AC135"/>
    <w:rsid w:val="64D90AD7"/>
    <w:rsid w:val="6615974C"/>
    <w:rsid w:val="66A31D2F"/>
    <w:rsid w:val="670B3BE8"/>
    <w:rsid w:val="671B1517"/>
    <w:rsid w:val="6839636C"/>
    <w:rsid w:val="6844A28B"/>
    <w:rsid w:val="685368E4"/>
    <w:rsid w:val="6A4C7972"/>
    <w:rsid w:val="6B2457FE"/>
    <w:rsid w:val="6B355D3C"/>
    <w:rsid w:val="6C765B17"/>
    <w:rsid w:val="6C9CB82C"/>
    <w:rsid w:val="6CFCB353"/>
    <w:rsid w:val="6E917304"/>
    <w:rsid w:val="6EBB17AC"/>
    <w:rsid w:val="6EDF5F0D"/>
    <w:rsid w:val="6FB75F55"/>
    <w:rsid w:val="6FDB1471"/>
    <w:rsid w:val="6FDB6A02"/>
    <w:rsid w:val="6FE74651"/>
    <w:rsid w:val="6FFBFC35"/>
    <w:rsid w:val="70341F7E"/>
    <w:rsid w:val="705C04AB"/>
    <w:rsid w:val="71D91DEE"/>
    <w:rsid w:val="726FA669"/>
    <w:rsid w:val="734B1CFF"/>
    <w:rsid w:val="74B231B4"/>
    <w:rsid w:val="75B21D78"/>
    <w:rsid w:val="75F3DFBD"/>
    <w:rsid w:val="77C6046C"/>
    <w:rsid w:val="79C1C29F"/>
    <w:rsid w:val="7A937191"/>
    <w:rsid w:val="7B2BC491"/>
    <w:rsid w:val="7B91F14A"/>
    <w:rsid w:val="7BF81FEF"/>
    <w:rsid w:val="7BFA9614"/>
    <w:rsid w:val="7C9FFFD8"/>
    <w:rsid w:val="7CC885B0"/>
    <w:rsid w:val="7DB2B9F1"/>
    <w:rsid w:val="7EEDBC38"/>
    <w:rsid w:val="7F0EE8C4"/>
    <w:rsid w:val="7FA6661A"/>
    <w:rsid w:val="7FF352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7A8ADDC"/>
  <w15:docId w15:val="{0E1FCE27-20D7-459B-803D-639DA923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81AA2"/>
    <w:rPr>
      <w:sz w:val="24"/>
      <w:szCs w:val="24"/>
    </w:rPr>
  </w:style>
  <w:style w:type="paragraph" w:styleId="Nadpis1">
    <w:name w:val="heading 1"/>
    <w:aliases w:val="Nadpis 1 - analyza"/>
    <w:basedOn w:val="Normln"/>
    <w:next w:val="Normln"/>
    <w:link w:val="Nadpis1Char"/>
    <w:qFormat/>
    <w:rsid w:val="00CB1AF7"/>
    <w:pPr>
      <w:keepNext/>
      <w:outlineLvl w:val="0"/>
    </w:pPr>
    <w:rPr>
      <w:b/>
      <w:bCs/>
      <w:sz w:val="32"/>
    </w:rPr>
  </w:style>
  <w:style w:type="paragraph" w:styleId="Nadpis2">
    <w:name w:val="heading 2"/>
    <w:basedOn w:val="Normln"/>
    <w:next w:val="Normln"/>
    <w:link w:val="Nadpis2Char"/>
    <w:qFormat/>
    <w:rsid w:val="00CB1AF7"/>
    <w:pPr>
      <w:keepNext/>
      <w:jc w:val="both"/>
      <w:outlineLvl w:val="1"/>
    </w:pPr>
    <w:rPr>
      <w:rFonts w:ascii="Univers Cd (WE)" w:hAnsi="Univers Cd (WE)"/>
      <w:bCs/>
      <w:i/>
      <w:iCs/>
      <w:sz w:val="20"/>
      <w:szCs w:val="20"/>
    </w:rPr>
  </w:style>
  <w:style w:type="paragraph" w:styleId="Nadpis3">
    <w:name w:val="heading 3"/>
    <w:basedOn w:val="Normln"/>
    <w:next w:val="Normln"/>
    <w:link w:val="Nadpis3Char"/>
    <w:qFormat/>
    <w:rsid w:val="00CB1AF7"/>
    <w:pPr>
      <w:keepNext/>
      <w:spacing w:before="240" w:after="60"/>
      <w:outlineLvl w:val="2"/>
    </w:pPr>
    <w:rPr>
      <w:rFonts w:ascii="Arial" w:hAnsi="Arial"/>
      <w:b/>
      <w:bCs/>
      <w:sz w:val="26"/>
      <w:szCs w:val="26"/>
    </w:rPr>
  </w:style>
  <w:style w:type="paragraph" w:styleId="Nadpis4">
    <w:name w:val="heading 4"/>
    <w:basedOn w:val="Normln"/>
    <w:next w:val="Normln"/>
    <w:link w:val="Nadpis4Char"/>
    <w:qFormat/>
    <w:rsid w:val="00CB1AF7"/>
    <w:pPr>
      <w:keepNext/>
      <w:spacing w:before="240" w:after="60"/>
      <w:outlineLvl w:val="3"/>
    </w:pPr>
    <w:rPr>
      <w:b/>
      <w:bCs/>
      <w:sz w:val="28"/>
      <w:szCs w:val="28"/>
    </w:rPr>
  </w:style>
  <w:style w:type="paragraph" w:styleId="Nadpis5">
    <w:name w:val="heading 5"/>
    <w:basedOn w:val="Normln"/>
    <w:next w:val="Normln"/>
    <w:link w:val="Nadpis5Char"/>
    <w:qFormat/>
    <w:rsid w:val="006C41BC"/>
    <w:pPr>
      <w:keepNext/>
      <w:autoSpaceDE w:val="0"/>
      <w:autoSpaceDN w:val="0"/>
      <w:adjustRightInd w:val="0"/>
      <w:outlineLvl w:val="4"/>
    </w:pPr>
    <w:rPr>
      <w:rFonts w:ascii="Arial Narrow" w:hAnsi="Arial Narrow"/>
      <w:b/>
      <w:bCs/>
      <w:color w:val="000000"/>
      <w:sz w:val="18"/>
      <w:szCs w:val="22"/>
    </w:rPr>
  </w:style>
  <w:style w:type="paragraph" w:styleId="Nadpis6">
    <w:name w:val="heading 6"/>
    <w:basedOn w:val="Normln"/>
    <w:next w:val="Normln"/>
    <w:link w:val="Nadpis6Char"/>
    <w:qFormat/>
    <w:rsid w:val="006C41BC"/>
    <w:pPr>
      <w:keepNext/>
      <w:autoSpaceDE w:val="0"/>
      <w:autoSpaceDN w:val="0"/>
      <w:adjustRightInd w:val="0"/>
      <w:outlineLvl w:val="5"/>
    </w:pPr>
    <w:rPr>
      <w:rFonts w:ascii="Arial Narrow" w:hAnsi="Arial Narrow"/>
      <w:b/>
      <w:bCs/>
      <w:color w:val="000000"/>
      <w:sz w:val="16"/>
      <w:szCs w:val="22"/>
    </w:rPr>
  </w:style>
  <w:style w:type="paragraph" w:styleId="Nadpis7">
    <w:name w:val="heading 7"/>
    <w:basedOn w:val="Normln"/>
    <w:next w:val="Normln"/>
    <w:link w:val="Nadpis7Char"/>
    <w:unhideWhenUsed/>
    <w:qFormat/>
    <w:rsid w:val="006C41BC"/>
    <w:pPr>
      <w:keepNext/>
      <w:keepLines/>
      <w:spacing w:before="200"/>
      <w:outlineLvl w:val="6"/>
    </w:pPr>
    <w:rPr>
      <w:rFonts w:ascii="Cambria" w:hAnsi="Cambria"/>
      <w:i/>
      <w:iCs/>
      <w:color w:val="404040"/>
    </w:rPr>
  </w:style>
  <w:style w:type="paragraph" w:styleId="Nadpis8">
    <w:name w:val="heading 8"/>
    <w:basedOn w:val="Normln"/>
    <w:next w:val="Normln"/>
    <w:link w:val="Nadpis8Char"/>
    <w:qFormat/>
    <w:rsid w:val="006C41BC"/>
    <w:pPr>
      <w:keepNext/>
      <w:jc w:val="center"/>
      <w:outlineLvl w:val="7"/>
    </w:pPr>
    <w:rPr>
      <w:rFonts w:ascii="Arial Narrow" w:hAnsi="Arial Narrow"/>
      <w:b/>
      <w:bCs/>
      <w:color w:val="000000"/>
      <w:sz w:val="20"/>
    </w:rPr>
  </w:style>
  <w:style w:type="paragraph" w:styleId="Nadpis9">
    <w:name w:val="heading 9"/>
    <w:basedOn w:val="Normln"/>
    <w:next w:val="Normln"/>
    <w:link w:val="Nadpis9Char"/>
    <w:qFormat/>
    <w:rsid w:val="006C41BC"/>
    <w:pPr>
      <w:keepNext/>
      <w:outlineLvl w:val="8"/>
    </w:pPr>
    <w:rPr>
      <w:b/>
      <w:bCs/>
      <w:color w:val="0000F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CB1AF7"/>
    <w:pPr>
      <w:tabs>
        <w:tab w:val="center" w:pos="4536"/>
        <w:tab w:val="right" w:pos="9072"/>
      </w:tabs>
    </w:pPr>
  </w:style>
  <w:style w:type="paragraph" w:styleId="Zkladntext">
    <w:name w:val="Body Text"/>
    <w:basedOn w:val="Normln"/>
    <w:link w:val="ZkladntextChar"/>
    <w:rsid w:val="00CB1AF7"/>
    <w:pPr>
      <w:spacing w:after="120"/>
    </w:pPr>
  </w:style>
  <w:style w:type="paragraph" w:styleId="Podnadpis">
    <w:name w:val="Subtitle"/>
    <w:basedOn w:val="Normln"/>
    <w:qFormat/>
    <w:rsid w:val="00CB1AF7"/>
    <w:pPr>
      <w:jc w:val="center"/>
    </w:pPr>
    <w:rPr>
      <w:b/>
      <w:bCs/>
      <w:sz w:val="40"/>
    </w:rPr>
  </w:style>
  <w:style w:type="paragraph" w:customStyle="1" w:styleId="1slaSEZChar1">
    <w:name w:val="(1) čísla SEZ Char1"/>
    <w:basedOn w:val="Normln"/>
    <w:rsid w:val="00CB1AF7"/>
    <w:pPr>
      <w:tabs>
        <w:tab w:val="num" w:pos="520"/>
      </w:tabs>
      <w:spacing w:before="120"/>
      <w:ind w:left="520" w:hanging="340"/>
      <w:jc w:val="both"/>
    </w:pPr>
    <w:rPr>
      <w:sz w:val="22"/>
      <w:szCs w:val="22"/>
    </w:rPr>
  </w:style>
  <w:style w:type="paragraph" w:styleId="Zkladntext2">
    <w:name w:val="Body Text 2"/>
    <w:basedOn w:val="Normln"/>
    <w:link w:val="Zkladntext2Char"/>
    <w:rsid w:val="00CB1AF7"/>
    <w:pPr>
      <w:spacing w:after="120" w:line="480" w:lineRule="auto"/>
    </w:pPr>
  </w:style>
  <w:style w:type="character" w:styleId="slostrnky">
    <w:name w:val="page number"/>
    <w:basedOn w:val="Standardnpsmoodstavce"/>
    <w:rsid w:val="008672D2"/>
  </w:style>
  <w:style w:type="character" w:styleId="Siln">
    <w:name w:val="Strong"/>
    <w:uiPriority w:val="22"/>
    <w:qFormat/>
    <w:rsid w:val="006B5397"/>
    <w:rPr>
      <w:b/>
      <w:bCs/>
    </w:rPr>
  </w:style>
  <w:style w:type="paragraph" w:styleId="Textpoznpodarou">
    <w:name w:val="footnote text"/>
    <w:basedOn w:val="Normln"/>
    <w:link w:val="TextpoznpodarouChar"/>
    <w:rsid w:val="006B5397"/>
    <w:rPr>
      <w:sz w:val="20"/>
      <w:szCs w:val="20"/>
    </w:rPr>
  </w:style>
  <w:style w:type="character" w:customStyle="1" w:styleId="TextpoznpodarouChar">
    <w:name w:val="Text pozn. pod čarou Char"/>
    <w:basedOn w:val="Standardnpsmoodstavce"/>
    <w:link w:val="Textpoznpodarou"/>
    <w:rsid w:val="006B5397"/>
  </w:style>
  <w:style w:type="character" w:styleId="Znakapoznpodarou">
    <w:name w:val="footnote reference"/>
    <w:rsid w:val="006B5397"/>
    <w:rPr>
      <w:vertAlign w:val="superscript"/>
    </w:rPr>
  </w:style>
  <w:style w:type="paragraph" w:styleId="Odstavecseseznamem">
    <w:name w:val="List Paragraph"/>
    <w:basedOn w:val="Normln"/>
    <w:uiPriority w:val="34"/>
    <w:qFormat/>
    <w:rsid w:val="00B41F34"/>
    <w:pPr>
      <w:ind w:left="720"/>
      <w:contextualSpacing/>
    </w:pPr>
  </w:style>
  <w:style w:type="character" w:styleId="Hypertextovodkaz">
    <w:name w:val="Hyperlink"/>
    <w:uiPriority w:val="99"/>
    <w:rsid w:val="00596625"/>
    <w:rPr>
      <w:color w:val="0000FF"/>
      <w:u w:val="single"/>
    </w:rPr>
  </w:style>
  <w:style w:type="character" w:customStyle="1" w:styleId="Nadpis7Char">
    <w:name w:val="Nadpis 7 Char"/>
    <w:link w:val="Nadpis7"/>
    <w:rsid w:val="006C41BC"/>
    <w:rPr>
      <w:rFonts w:ascii="Cambria" w:eastAsia="Times New Roman" w:hAnsi="Cambria" w:cs="Times New Roman"/>
      <w:i/>
      <w:iCs/>
      <w:color w:val="404040"/>
      <w:sz w:val="24"/>
      <w:szCs w:val="24"/>
    </w:rPr>
  </w:style>
  <w:style w:type="paragraph" w:styleId="Zkladntext3">
    <w:name w:val="Body Text 3"/>
    <w:basedOn w:val="Normln"/>
    <w:link w:val="Zkladntext3Char"/>
    <w:rsid w:val="006C41BC"/>
    <w:pPr>
      <w:spacing w:after="120"/>
    </w:pPr>
    <w:rPr>
      <w:sz w:val="16"/>
      <w:szCs w:val="16"/>
    </w:rPr>
  </w:style>
  <w:style w:type="character" w:customStyle="1" w:styleId="Zkladntext3Char">
    <w:name w:val="Základní text 3 Char"/>
    <w:link w:val="Zkladntext3"/>
    <w:rsid w:val="006C41BC"/>
    <w:rPr>
      <w:sz w:val="16"/>
      <w:szCs w:val="16"/>
    </w:rPr>
  </w:style>
  <w:style w:type="character" w:customStyle="1" w:styleId="Nadpis5Char">
    <w:name w:val="Nadpis 5 Char"/>
    <w:link w:val="Nadpis5"/>
    <w:rsid w:val="006C41BC"/>
    <w:rPr>
      <w:rFonts w:ascii="Arial Narrow" w:hAnsi="Arial Narrow"/>
      <w:b/>
      <w:bCs/>
      <w:color w:val="000000"/>
      <w:sz w:val="18"/>
      <w:szCs w:val="22"/>
    </w:rPr>
  </w:style>
  <w:style w:type="character" w:customStyle="1" w:styleId="Nadpis6Char">
    <w:name w:val="Nadpis 6 Char"/>
    <w:link w:val="Nadpis6"/>
    <w:rsid w:val="006C41BC"/>
    <w:rPr>
      <w:rFonts w:ascii="Arial Narrow" w:hAnsi="Arial Narrow"/>
      <w:b/>
      <w:bCs/>
      <w:color w:val="000000"/>
      <w:sz w:val="16"/>
      <w:szCs w:val="22"/>
    </w:rPr>
  </w:style>
  <w:style w:type="character" w:customStyle="1" w:styleId="Nadpis8Char">
    <w:name w:val="Nadpis 8 Char"/>
    <w:link w:val="Nadpis8"/>
    <w:rsid w:val="006C41BC"/>
    <w:rPr>
      <w:rFonts w:ascii="Arial Narrow" w:hAnsi="Arial Narrow"/>
      <w:b/>
      <w:bCs/>
      <w:color w:val="000000"/>
      <w:szCs w:val="24"/>
    </w:rPr>
  </w:style>
  <w:style w:type="character" w:customStyle="1" w:styleId="Nadpis9Char">
    <w:name w:val="Nadpis 9 Char"/>
    <w:link w:val="Nadpis9"/>
    <w:rsid w:val="006C41BC"/>
    <w:rPr>
      <w:b/>
      <w:bCs/>
      <w:color w:val="0000FF"/>
      <w:sz w:val="28"/>
      <w:szCs w:val="24"/>
    </w:rPr>
  </w:style>
  <w:style w:type="character" w:customStyle="1" w:styleId="Nadpis1Char">
    <w:name w:val="Nadpis 1 Char"/>
    <w:aliases w:val="Nadpis 1 - analyza Char"/>
    <w:link w:val="Nadpis1"/>
    <w:rsid w:val="006C41BC"/>
    <w:rPr>
      <w:b/>
      <w:bCs/>
      <w:sz w:val="32"/>
      <w:szCs w:val="24"/>
    </w:rPr>
  </w:style>
  <w:style w:type="character" w:customStyle="1" w:styleId="Nadpis2Char">
    <w:name w:val="Nadpis 2 Char"/>
    <w:link w:val="Nadpis2"/>
    <w:rsid w:val="006C41BC"/>
    <w:rPr>
      <w:rFonts w:ascii="Univers Cd (WE)" w:hAnsi="Univers Cd (WE)"/>
      <w:bCs/>
      <w:i/>
      <w:iCs/>
    </w:rPr>
  </w:style>
  <w:style w:type="character" w:customStyle="1" w:styleId="Nadpis3Char">
    <w:name w:val="Nadpis 3 Char"/>
    <w:link w:val="Nadpis3"/>
    <w:rsid w:val="006C41BC"/>
    <w:rPr>
      <w:rFonts w:ascii="Arial" w:hAnsi="Arial" w:cs="Arial"/>
      <w:b/>
      <w:bCs/>
      <w:sz w:val="26"/>
      <w:szCs w:val="26"/>
    </w:rPr>
  </w:style>
  <w:style w:type="character" w:customStyle="1" w:styleId="Nadpis4Char">
    <w:name w:val="Nadpis 4 Char"/>
    <w:link w:val="Nadpis4"/>
    <w:rsid w:val="006C41BC"/>
    <w:rPr>
      <w:b/>
      <w:bCs/>
      <w:sz w:val="28"/>
      <w:szCs w:val="28"/>
    </w:rPr>
  </w:style>
  <w:style w:type="character" w:styleId="Sledovanodkaz">
    <w:name w:val="FollowedHyperlink"/>
    <w:rsid w:val="006C41BC"/>
    <w:rPr>
      <w:color w:val="800080"/>
      <w:u w:val="single"/>
    </w:rPr>
  </w:style>
  <w:style w:type="paragraph" w:styleId="Zkladntextodsazen">
    <w:name w:val="Body Text Indent"/>
    <w:basedOn w:val="Normln"/>
    <w:link w:val="ZkladntextodsazenChar"/>
    <w:rsid w:val="006C41BC"/>
    <w:pPr>
      <w:ind w:left="720" w:hanging="720"/>
    </w:pPr>
  </w:style>
  <w:style w:type="character" w:customStyle="1" w:styleId="ZkladntextodsazenChar">
    <w:name w:val="Základní text odsazený Char"/>
    <w:link w:val="Zkladntextodsazen"/>
    <w:rsid w:val="006C41BC"/>
    <w:rPr>
      <w:sz w:val="24"/>
      <w:szCs w:val="24"/>
    </w:rPr>
  </w:style>
  <w:style w:type="paragraph" w:styleId="Zhlav">
    <w:name w:val="header"/>
    <w:basedOn w:val="Normln"/>
    <w:link w:val="ZhlavChar"/>
    <w:rsid w:val="006C41BC"/>
    <w:pPr>
      <w:tabs>
        <w:tab w:val="center" w:pos="4536"/>
        <w:tab w:val="right" w:pos="9072"/>
      </w:tabs>
    </w:pPr>
  </w:style>
  <w:style w:type="character" w:customStyle="1" w:styleId="ZhlavChar">
    <w:name w:val="Záhlaví Char"/>
    <w:link w:val="Zhlav"/>
    <w:rsid w:val="006C41BC"/>
    <w:rPr>
      <w:sz w:val="24"/>
      <w:szCs w:val="24"/>
    </w:rPr>
  </w:style>
  <w:style w:type="character" w:customStyle="1" w:styleId="Zkladntext2Char">
    <w:name w:val="Základní text 2 Char"/>
    <w:link w:val="Zkladntext2"/>
    <w:rsid w:val="006C41BC"/>
    <w:rPr>
      <w:sz w:val="24"/>
      <w:szCs w:val="24"/>
    </w:rPr>
  </w:style>
  <w:style w:type="character" w:customStyle="1" w:styleId="ZkladntextChar">
    <w:name w:val="Základní text Char"/>
    <w:link w:val="Zkladntext"/>
    <w:rsid w:val="006C41BC"/>
    <w:rPr>
      <w:sz w:val="24"/>
      <w:szCs w:val="24"/>
    </w:rPr>
  </w:style>
  <w:style w:type="character" w:customStyle="1" w:styleId="ZpatChar">
    <w:name w:val="Zápatí Char"/>
    <w:link w:val="Zpat"/>
    <w:rsid w:val="006C41BC"/>
    <w:rPr>
      <w:sz w:val="24"/>
      <w:szCs w:val="24"/>
    </w:rPr>
  </w:style>
  <w:style w:type="paragraph" w:styleId="Titulek">
    <w:name w:val="caption"/>
    <w:basedOn w:val="Normln"/>
    <w:next w:val="Normln"/>
    <w:qFormat/>
    <w:rsid w:val="006C41BC"/>
    <w:rPr>
      <w:rFonts w:ascii="Arial Narrow" w:hAnsi="Arial Narrow"/>
      <w:b/>
      <w:bCs/>
      <w:sz w:val="16"/>
    </w:rPr>
  </w:style>
  <w:style w:type="paragraph" w:styleId="Textbubliny">
    <w:name w:val="Balloon Text"/>
    <w:basedOn w:val="Normln"/>
    <w:link w:val="TextbublinyChar"/>
    <w:uiPriority w:val="99"/>
    <w:rsid w:val="006C41BC"/>
    <w:rPr>
      <w:rFonts w:ascii="Tahoma" w:hAnsi="Tahoma"/>
      <w:color w:val="000000"/>
      <w:sz w:val="16"/>
      <w:szCs w:val="16"/>
    </w:rPr>
  </w:style>
  <w:style w:type="character" w:customStyle="1" w:styleId="TextbublinyChar">
    <w:name w:val="Text bubliny Char"/>
    <w:link w:val="Textbubliny"/>
    <w:uiPriority w:val="99"/>
    <w:rsid w:val="006C41BC"/>
    <w:rPr>
      <w:rFonts w:ascii="Tahoma" w:hAnsi="Tahoma" w:cs="Tahoma"/>
      <w:color w:val="000000"/>
      <w:sz w:val="16"/>
      <w:szCs w:val="16"/>
    </w:rPr>
  </w:style>
  <w:style w:type="character" w:styleId="Odkaznakoment">
    <w:name w:val="annotation reference"/>
    <w:uiPriority w:val="99"/>
    <w:rsid w:val="006C41BC"/>
    <w:rPr>
      <w:sz w:val="16"/>
      <w:szCs w:val="16"/>
    </w:rPr>
  </w:style>
  <w:style w:type="paragraph" w:styleId="Textkomente">
    <w:name w:val="annotation text"/>
    <w:basedOn w:val="Normln"/>
    <w:link w:val="TextkomenteChar"/>
    <w:uiPriority w:val="99"/>
    <w:rsid w:val="006C41BC"/>
    <w:rPr>
      <w:color w:val="000000"/>
      <w:sz w:val="20"/>
      <w:szCs w:val="20"/>
    </w:rPr>
  </w:style>
  <w:style w:type="character" w:customStyle="1" w:styleId="TextkomenteChar">
    <w:name w:val="Text komentáře Char"/>
    <w:link w:val="Textkomente"/>
    <w:uiPriority w:val="99"/>
    <w:rsid w:val="006C41BC"/>
    <w:rPr>
      <w:color w:val="000000"/>
    </w:rPr>
  </w:style>
  <w:style w:type="paragraph" w:styleId="Pedmtkomente">
    <w:name w:val="annotation subject"/>
    <w:basedOn w:val="Textkomente"/>
    <w:next w:val="Textkomente"/>
    <w:link w:val="PedmtkomenteChar"/>
    <w:uiPriority w:val="99"/>
    <w:rsid w:val="006C41BC"/>
    <w:rPr>
      <w:b/>
      <w:bCs/>
    </w:rPr>
  </w:style>
  <w:style w:type="character" w:customStyle="1" w:styleId="PedmtkomenteChar">
    <w:name w:val="Předmět komentáře Char"/>
    <w:link w:val="Pedmtkomente"/>
    <w:uiPriority w:val="99"/>
    <w:rsid w:val="006C41BC"/>
    <w:rPr>
      <w:b/>
      <w:bCs/>
      <w:color w:val="000000"/>
    </w:rPr>
  </w:style>
  <w:style w:type="paragraph" w:customStyle="1" w:styleId="Nadpis2-analyza">
    <w:name w:val="Nadpis 2 - analyza"/>
    <w:basedOn w:val="Nadpis2"/>
    <w:autoRedefine/>
    <w:rsid w:val="006C41BC"/>
    <w:pPr>
      <w:spacing w:before="120" w:after="60"/>
      <w:jc w:val="left"/>
    </w:pPr>
    <w:rPr>
      <w:rFonts w:ascii="Arial" w:hAnsi="Arial" w:cs="Arial"/>
      <w:b/>
      <w:color w:val="000080"/>
      <w:sz w:val="22"/>
      <w:szCs w:val="28"/>
    </w:rPr>
  </w:style>
  <w:style w:type="paragraph" w:customStyle="1" w:styleId="Grafy-analyza">
    <w:name w:val="Grafy - analyza"/>
    <w:basedOn w:val="Normln"/>
    <w:autoRedefine/>
    <w:rsid w:val="006C41BC"/>
    <w:pPr>
      <w:spacing w:before="120" w:after="120"/>
    </w:pPr>
    <w:rPr>
      <w:rFonts w:ascii="Arial" w:hAnsi="Arial" w:cs="Tahoma"/>
      <w:bCs/>
      <w:i/>
      <w:iCs/>
      <w:color w:val="000000"/>
      <w:sz w:val="18"/>
      <w:szCs w:val="18"/>
    </w:rPr>
  </w:style>
  <w:style w:type="paragraph" w:customStyle="1" w:styleId="Poznmky-analyza">
    <w:name w:val="Poznámky - analyza"/>
    <w:basedOn w:val="Normln"/>
    <w:autoRedefine/>
    <w:rsid w:val="006C41BC"/>
    <w:pPr>
      <w:spacing w:before="120" w:after="120"/>
    </w:pPr>
    <w:rPr>
      <w:rFonts w:ascii="Arial" w:hAnsi="Arial" w:cs="Tahoma"/>
      <w:bCs/>
      <w:iCs/>
      <w:color w:val="000000"/>
      <w:sz w:val="18"/>
      <w:szCs w:val="18"/>
    </w:rPr>
  </w:style>
  <w:style w:type="paragraph" w:customStyle="1" w:styleId="SMLnadpisA">
    <w:name w:val="(SML) nadpis A"/>
    <w:basedOn w:val="Nadpis1"/>
    <w:rsid w:val="001E400F"/>
    <w:pPr>
      <w:spacing w:before="60"/>
      <w:jc w:val="center"/>
    </w:pPr>
    <w:rPr>
      <w:bCs w:val="0"/>
      <w:sz w:val="40"/>
      <w:szCs w:val="40"/>
    </w:rPr>
  </w:style>
  <w:style w:type="paragraph" w:customStyle="1" w:styleId="zklad">
    <w:name w:val="základ"/>
    <w:basedOn w:val="Normln"/>
    <w:rsid w:val="001E400F"/>
    <w:pPr>
      <w:spacing w:before="60" w:after="120"/>
      <w:jc w:val="both"/>
    </w:pPr>
    <w:rPr>
      <w:iCs/>
    </w:rPr>
  </w:style>
  <w:style w:type="paragraph" w:customStyle="1" w:styleId="zhlav-znaka">
    <w:name w:val="záhlaví-značka"/>
    <w:basedOn w:val="Zhlav"/>
    <w:rsid w:val="00B876A1"/>
    <w:pPr>
      <w:tabs>
        <w:tab w:val="clear" w:pos="4536"/>
        <w:tab w:val="clear" w:pos="9072"/>
        <w:tab w:val="left" w:pos="1620"/>
      </w:tabs>
      <w:spacing w:before="50"/>
      <w:jc w:val="both"/>
    </w:pPr>
    <w:rPr>
      <w:rFonts w:ascii="Arial" w:hAnsi="Arial" w:cs="Arial"/>
      <w:sz w:val="16"/>
      <w:szCs w:val="16"/>
    </w:rPr>
  </w:style>
  <w:style w:type="paragraph" w:customStyle="1" w:styleId="zhlav-odbor">
    <w:name w:val="záhlaví-odbor"/>
    <w:basedOn w:val="Zhlav"/>
    <w:rsid w:val="00B876A1"/>
    <w:pPr>
      <w:jc w:val="both"/>
    </w:pPr>
    <w:rPr>
      <w:rFonts w:ascii="Arial" w:hAnsi="Arial" w:cs="Arial"/>
      <w:b/>
      <w:bCs/>
      <w:caps/>
      <w:color w:val="999999"/>
      <w:sz w:val="20"/>
      <w:szCs w:val="20"/>
    </w:rPr>
  </w:style>
  <w:style w:type="paragraph" w:customStyle="1" w:styleId="zhlav-znaka-text">
    <w:name w:val="záhlaví-značka-text"/>
    <w:basedOn w:val="Normln"/>
    <w:rsid w:val="00B876A1"/>
    <w:pPr>
      <w:tabs>
        <w:tab w:val="left" w:pos="1440"/>
      </w:tabs>
      <w:spacing w:line="204" w:lineRule="auto"/>
      <w:jc w:val="both"/>
    </w:pPr>
  </w:style>
  <w:style w:type="paragraph" w:customStyle="1" w:styleId="Vc">
    <w:name w:val="Věc"/>
    <w:basedOn w:val="Zhlav"/>
    <w:rsid w:val="00B876A1"/>
    <w:pPr>
      <w:tabs>
        <w:tab w:val="clear" w:pos="4536"/>
        <w:tab w:val="clear" w:pos="9072"/>
      </w:tabs>
      <w:jc w:val="both"/>
    </w:pPr>
    <w:rPr>
      <w:u w:val="single"/>
    </w:rPr>
  </w:style>
  <w:style w:type="paragraph" w:customStyle="1" w:styleId="Plohy">
    <w:name w:val="Přílohy"/>
    <w:basedOn w:val="Normln"/>
    <w:rsid w:val="00B876A1"/>
    <w:pPr>
      <w:jc w:val="both"/>
    </w:pPr>
    <w:rPr>
      <w:u w:val="single"/>
    </w:rPr>
  </w:style>
  <w:style w:type="paragraph" w:customStyle="1" w:styleId="ed">
    <w:name w:val="šedá"/>
    <w:basedOn w:val="Normln"/>
    <w:rsid w:val="00B876A1"/>
    <w:pPr>
      <w:jc w:val="both"/>
    </w:pPr>
    <w:rPr>
      <w:color w:val="999999"/>
    </w:rPr>
  </w:style>
  <w:style w:type="paragraph" w:customStyle="1" w:styleId="zahlavi-odbor-radek">
    <w:name w:val="zahlavi-odbor-radek"/>
    <w:basedOn w:val="zhlav-odbor"/>
    <w:rsid w:val="00B876A1"/>
    <w:pPr>
      <w:spacing w:after="80"/>
    </w:pPr>
  </w:style>
  <w:style w:type="paragraph" w:customStyle="1" w:styleId="Standard">
    <w:name w:val="Standard"/>
    <w:uiPriority w:val="99"/>
    <w:rsid w:val="009A61D9"/>
    <w:pPr>
      <w:widowControl w:val="0"/>
      <w:suppressAutoHyphens/>
      <w:autoSpaceDN w:val="0"/>
      <w:textAlignment w:val="baseline"/>
    </w:pPr>
    <w:rPr>
      <w:rFonts w:cs="Tahoma"/>
      <w:kern w:val="3"/>
      <w:sz w:val="24"/>
      <w:szCs w:val="24"/>
    </w:rPr>
  </w:style>
  <w:style w:type="paragraph" w:customStyle="1" w:styleId="normln1str">
    <w:name w:val="normální 1str"/>
    <w:rsid w:val="009A61D9"/>
    <w:pPr>
      <w:tabs>
        <w:tab w:val="left" w:pos="-1800"/>
      </w:tabs>
    </w:pPr>
    <w:rPr>
      <w:rFonts w:ascii="Calibri" w:hAnsi="Calibri"/>
      <w:sz w:val="24"/>
      <w:szCs w:val="24"/>
    </w:rPr>
  </w:style>
  <w:style w:type="paragraph" w:customStyle="1" w:styleId="Oznaenpoloky">
    <w:name w:val="Označení položky"/>
    <w:basedOn w:val="Normln"/>
    <w:rsid w:val="00BD7EDE"/>
    <w:pPr>
      <w:ind w:left="28"/>
    </w:pPr>
    <w:rPr>
      <w:rFonts w:ascii="Arial" w:hAnsi="Arial"/>
      <w:b/>
      <w:bCs/>
      <w:iCs/>
      <w:sz w:val="16"/>
      <w:szCs w:val="16"/>
    </w:rPr>
  </w:style>
  <w:style w:type="paragraph" w:customStyle="1" w:styleId="Poznmka">
    <w:name w:val="Poznámka"/>
    <w:rsid w:val="00BD7EDE"/>
    <w:pPr>
      <w:spacing w:after="60"/>
    </w:pPr>
    <w:rPr>
      <w:rFonts w:ascii="Arial" w:hAnsi="Arial"/>
      <w:i/>
      <w:caps/>
      <w:sz w:val="18"/>
      <w:szCs w:val="18"/>
    </w:rPr>
  </w:style>
  <w:style w:type="table" w:styleId="Mkatabulky">
    <w:name w:val="Table Grid"/>
    <w:basedOn w:val="Normlntabulka"/>
    <w:uiPriority w:val="39"/>
    <w:rsid w:val="00BD7ED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0">
    <w:name w:val="normální"/>
    <w:basedOn w:val="Normln"/>
    <w:rsid w:val="00CA00DF"/>
    <w:pPr>
      <w:spacing w:line="360" w:lineRule="auto"/>
      <w:jc w:val="both"/>
    </w:pPr>
    <w:rPr>
      <w:rFonts w:ascii="Arial" w:hAnsi="Arial"/>
      <w:szCs w:val="20"/>
    </w:rPr>
  </w:style>
  <w:style w:type="paragraph" w:styleId="Normlnweb">
    <w:name w:val="Normal (Web)"/>
    <w:basedOn w:val="Normln"/>
    <w:uiPriority w:val="99"/>
    <w:unhideWhenUsed/>
    <w:rsid w:val="00F15DE3"/>
    <w:pPr>
      <w:spacing w:before="100" w:beforeAutospacing="1" w:after="100" w:afterAutospacing="1"/>
    </w:pPr>
  </w:style>
  <w:style w:type="character" w:customStyle="1" w:styleId="Zmnka1">
    <w:name w:val="Zmínka1"/>
    <w:basedOn w:val="Standardnpsmoodstavce"/>
    <w:uiPriority w:val="99"/>
    <w:semiHidden/>
    <w:unhideWhenUsed/>
    <w:rsid w:val="007517BF"/>
    <w:rPr>
      <w:color w:val="2B579A"/>
      <w:shd w:val="clear" w:color="auto" w:fill="E6E6E6"/>
    </w:rPr>
  </w:style>
  <w:style w:type="paragraph" w:customStyle="1" w:styleId="1">
    <w:name w:val="1"/>
    <w:basedOn w:val="Normln"/>
    <w:next w:val="Podnadpis"/>
    <w:qFormat/>
    <w:rsid w:val="00181AA2"/>
    <w:pPr>
      <w:jc w:val="center"/>
    </w:pPr>
    <w:rPr>
      <w:b/>
      <w:bCs/>
      <w:sz w:val="40"/>
    </w:rPr>
  </w:style>
  <w:style w:type="paragraph" w:customStyle="1" w:styleId="Styl">
    <w:name w:val="Styl"/>
    <w:rsid w:val="00181AA2"/>
    <w:pPr>
      <w:widowControl w:val="0"/>
      <w:autoSpaceDE w:val="0"/>
      <w:autoSpaceDN w:val="0"/>
      <w:adjustRightInd w:val="0"/>
    </w:pPr>
    <w:rPr>
      <w:sz w:val="24"/>
      <w:szCs w:val="24"/>
    </w:rPr>
  </w:style>
  <w:style w:type="character" w:customStyle="1" w:styleId="Nevyeenzmnka1">
    <w:name w:val="Nevyřešená zmínka1"/>
    <w:uiPriority w:val="99"/>
    <w:semiHidden/>
    <w:unhideWhenUsed/>
    <w:rsid w:val="00181AA2"/>
    <w:rPr>
      <w:color w:val="808080"/>
      <w:shd w:val="clear" w:color="auto" w:fill="E6E6E6"/>
    </w:rPr>
  </w:style>
  <w:style w:type="paragraph" w:customStyle="1" w:styleId="ALTnadpisB">
    <w:name w:val="ALT_nadpisB"/>
    <w:basedOn w:val="Normln"/>
    <w:link w:val="ALTnadpisBChar"/>
    <w:qFormat/>
    <w:rsid w:val="00181AA2"/>
    <w:pPr>
      <w:spacing w:after="120"/>
      <w:jc w:val="both"/>
    </w:pPr>
    <w:rPr>
      <w:rFonts w:ascii="Calibri Light" w:eastAsia="Calibri" w:hAnsi="Calibri Light"/>
      <w:b/>
      <w:color w:val="404040"/>
      <w:lang w:eastAsia="en-US"/>
    </w:rPr>
  </w:style>
  <w:style w:type="character" w:customStyle="1" w:styleId="ALTnadpisBChar">
    <w:name w:val="ALT_nadpisB Char"/>
    <w:link w:val="ALTnadpisB"/>
    <w:rsid w:val="00181AA2"/>
    <w:rPr>
      <w:rFonts w:ascii="Calibri Light" w:eastAsia="Calibri" w:hAnsi="Calibri Light"/>
      <w:b/>
      <w:color w:val="404040"/>
      <w:sz w:val="24"/>
      <w:szCs w:val="24"/>
      <w:lang w:eastAsia="en-US"/>
    </w:rPr>
  </w:style>
  <w:style w:type="paragraph" w:customStyle="1" w:styleId="ALTtext">
    <w:name w:val="ALT_text"/>
    <w:basedOn w:val="Normln"/>
    <w:link w:val="ALTtextChar"/>
    <w:qFormat/>
    <w:rsid w:val="00181AA2"/>
    <w:pPr>
      <w:jc w:val="both"/>
    </w:pPr>
    <w:rPr>
      <w:rFonts w:ascii="Calibri Light" w:eastAsia="Calibri" w:hAnsi="Calibri Light"/>
      <w:sz w:val="22"/>
      <w:szCs w:val="22"/>
      <w:lang w:eastAsia="en-US"/>
    </w:rPr>
  </w:style>
  <w:style w:type="character" w:customStyle="1" w:styleId="ALTtextChar">
    <w:name w:val="ALT_text Char"/>
    <w:link w:val="ALTtext"/>
    <w:rsid w:val="00181AA2"/>
    <w:rPr>
      <w:rFonts w:ascii="Calibri Light" w:eastAsia="Calibri" w:hAnsi="Calibri Light"/>
      <w:sz w:val="22"/>
      <w:szCs w:val="22"/>
      <w:lang w:eastAsia="en-US"/>
    </w:rPr>
  </w:style>
  <w:style w:type="paragraph" w:styleId="Bezmezer">
    <w:name w:val="No Spacing"/>
    <w:uiPriority w:val="1"/>
    <w:qFormat/>
    <w:rsid w:val="002D4299"/>
    <w:rPr>
      <w:rFonts w:asciiTheme="minorHAnsi" w:eastAsiaTheme="minorHAnsi" w:hAnsiTheme="minorHAnsi" w:cstheme="minorBidi"/>
      <w:sz w:val="22"/>
      <w:szCs w:val="22"/>
      <w:lang w:eastAsia="en-US"/>
    </w:rPr>
  </w:style>
  <w:style w:type="character" w:styleId="PromnnHTML">
    <w:name w:val="HTML Variable"/>
    <w:basedOn w:val="Standardnpsmoodstavce"/>
    <w:uiPriority w:val="99"/>
    <w:semiHidden/>
    <w:unhideWhenUsed/>
    <w:rsid w:val="00AC3071"/>
    <w:rPr>
      <w:i/>
      <w:iCs/>
    </w:rPr>
  </w:style>
  <w:style w:type="paragraph" w:customStyle="1" w:styleId="Mik">
    <w:name w:val="Mikš"/>
    <w:basedOn w:val="Normln"/>
    <w:rsid w:val="00836DFF"/>
    <w:pPr>
      <w:jc w:val="both"/>
    </w:pPr>
    <w:rPr>
      <w:szCs w:val="20"/>
    </w:rPr>
  </w:style>
  <w:style w:type="character" w:styleId="Nevyeenzmnka">
    <w:name w:val="Unresolved Mention"/>
    <w:basedOn w:val="Standardnpsmoodstavce"/>
    <w:uiPriority w:val="99"/>
    <w:semiHidden/>
    <w:unhideWhenUsed/>
    <w:rsid w:val="00836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8334">
      <w:bodyDiv w:val="1"/>
      <w:marLeft w:val="0"/>
      <w:marRight w:val="0"/>
      <w:marTop w:val="0"/>
      <w:marBottom w:val="0"/>
      <w:divBdr>
        <w:top w:val="none" w:sz="0" w:space="0" w:color="auto"/>
        <w:left w:val="none" w:sz="0" w:space="0" w:color="auto"/>
        <w:bottom w:val="none" w:sz="0" w:space="0" w:color="auto"/>
        <w:right w:val="none" w:sz="0" w:space="0" w:color="auto"/>
      </w:divBdr>
    </w:div>
    <w:div w:id="815148470">
      <w:bodyDiv w:val="1"/>
      <w:marLeft w:val="0"/>
      <w:marRight w:val="0"/>
      <w:marTop w:val="0"/>
      <w:marBottom w:val="0"/>
      <w:divBdr>
        <w:top w:val="none" w:sz="0" w:space="0" w:color="auto"/>
        <w:left w:val="none" w:sz="0" w:space="0" w:color="auto"/>
        <w:bottom w:val="none" w:sz="0" w:space="0" w:color="auto"/>
        <w:right w:val="none" w:sz="0" w:space="0" w:color="auto"/>
      </w:divBdr>
    </w:div>
    <w:div w:id="877398613">
      <w:bodyDiv w:val="1"/>
      <w:marLeft w:val="0"/>
      <w:marRight w:val="0"/>
      <w:marTop w:val="0"/>
      <w:marBottom w:val="0"/>
      <w:divBdr>
        <w:top w:val="none" w:sz="0" w:space="0" w:color="auto"/>
        <w:left w:val="none" w:sz="0" w:space="0" w:color="auto"/>
        <w:bottom w:val="none" w:sz="0" w:space="0" w:color="auto"/>
        <w:right w:val="none" w:sz="0" w:space="0" w:color="auto"/>
      </w:divBdr>
    </w:div>
    <w:div w:id="881019620">
      <w:bodyDiv w:val="1"/>
      <w:marLeft w:val="0"/>
      <w:marRight w:val="0"/>
      <w:marTop w:val="0"/>
      <w:marBottom w:val="0"/>
      <w:divBdr>
        <w:top w:val="none" w:sz="0" w:space="0" w:color="auto"/>
        <w:left w:val="none" w:sz="0" w:space="0" w:color="auto"/>
        <w:bottom w:val="none" w:sz="0" w:space="0" w:color="auto"/>
        <w:right w:val="none" w:sz="0" w:space="0" w:color="auto"/>
      </w:divBdr>
    </w:div>
    <w:div w:id="1117604609">
      <w:bodyDiv w:val="1"/>
      <w:marLeft w:val="0"/>
      <w:marRight w:val="0"/>
      <w:marTop w:val="0"/>
      <w:marBottom w:val="0"/>
      <w:divBdr>
        <w:top w:val="none" w:sz="0" w:space="0" w:color="auto"/>
        <w:left w:val="none" w:sz="0" w:space="0" w:color="auto"/>
        <w:bottom w:val="none" w:sz="0" w:space="0" w:color="auto"/>
        <w:right w:val="none" w:sz="0" w:space="0" w:color="auto"/>
      </w:divBdr>
    </w:div>
    <w:div w:id="1280261014">
      <w:bodyDiv w:val="1"/>
      <w:marLeft w:val="0"/>
      <w:marRight w:val="0"/>
      <w:marTop w:val="0"/>
      <w:marBottom w:val="0"/>
      <w:divBdr>
        <w:top w:val="none" w:sz="0" w:space="0" w:color="auto"/>
        <w:left w:val="none" w:sz="0" w:space="0" w:color="auto"/>
        <w:bottom w:val="none" w:sz="0" w:space="0" w:color="auto"/>
        <w:right w:val="none" w:sz="0" w:space="0" w:color="auto"/>
      </w:divBdr>
    </w:div>
    <w:div w:id="1389837591">
      <w:bodyDiv w:val="1"/>
      <w:marLeft w:val="0"/>
      <w:marRight w:val="0"/>
      <w:marTop w:val="0"/>
      <w:marBottom w:val="0"/>
      <w:divBdr>
        <w:top w:val="none" w:sz="0" w:space="0" w:color="auto"/>
        <w:left w:val="none" w:sz="0" w:space="0" w:color="auto"/>
        <w:bottom w:val="none" w:sz="0" w:space="0" w:color="auto"/>
        <w:right w:val="none" w:sz="0" w:space="0" w:color="auto"/>
      </w:divBdr>
      <w:divsChild>
        <w:div w:id="167524958">
          <w:marLeft w:val="0"/>
          <w:marRight w:val="0"/>
          <w:marTop w:val="2130"/>
          <w:marBottom w:val="0"/>
          <w:divBdr>
            <w:top w:val="none" w:sz="0" w:space="0" w:color="auto"/>
            <w:left w:val="none" w:sz="0" w:space="0" w:color="auto"/>
            <w:bottom w:val="none" w:sz="0" w:space="0" w:color="auto"/>
            <w:right w:val="none" w:sz="0" w:space="0" w:color="auto"/>
          </w:divBdr>
          <w:divsChild>
            <w:div w:id="1722358849">
              <w:marLeft w:val="0"/>
              <w:marRight w:val="0"/>
              <w:marTop w:val="0"/>
              <w:marBottom w:val="0"/>
              <w:divBdr>
                <w:top w:val="none" w:sz="0" w:space="0" w:color="auto"/>
                <w:left w:val="none" w:sz="0" w:space="0" w:color="auto"/>
                <w:bottom w:val="none" w:sz="0" w:space="0" w:color="auto"/>
                <w:right w:val="none" w:sz="0" w:space="0" w:color="auto"/>
              </w:divBdr>
              <w:divsChild>
                <w:div w:id="1328052896">
                  <w:marLeft w:val="0"/>
                  <w:marRight w:val="0"/>
                  <w:marTop w:val="0"/>
                  <w:marBottom w:val="0"/>
                  <w:divBdr>
                    <w:top w:val="none" w:sz="0" w:space="0" w:color="auto"/>
                    <w:left w:val="none" w:sz="0" w:space="0" w:color="auto"/>
                    <w:bottom w:val="none" w:sz="0" w:space="0" w:color="auto"/>
                    <w:right w:val="none" w:sz="0" w:space="0" w:color="auto"/>
                  </w:divBdr>
                  <w:divsChild>
                    <w:div w:id="1673408330">
                      <w:marLeft w:val="0"/>
                      <w:marRight w:val="0"/>
                      <w:marTop w:val="0"/>
                      <w:marBottom w:val="0"/>
                      <w:divBdr>
                        <w:top w:val="none" w:sz="0" w:space="0" w:color="auto"/>
                        <w:left w:val="none" w:sz="0" w:space="0" w:color="auto"/>
                        <w:bottom w:val="none" w:sz="0" w:space="0" w:color="auto"/>
                        <w:right w:val="none" w:sz="0" w:space="0" w:color="auto"/>
                      </w:divBdr>
                      <w:divsChild>
                        <w:div w:id="1689408310">
                          <w:marLeft w:val="0"/>
                          <w:marRight w:val="0"/>
                          <w:marTop w:val="0"/>
                          <w:marBottom w:val="0"/>
                          <w:divBdr>
                            <w:top w:val="none" w:sz="0" w:space="0" w:color="auto"/>
                            <w:left w:val="none" w:sz="0" w:space="0" w:color="auto"/>
                            <w:bottom w:val="none" w:sz="0" w:space="0" w:color="auto"/>
                            <w:right w:val="none" w:sz="0" w:space="0" w:color="auto"/>
                          </w:divBdr>
                          <w:divsChild>
                            <w:div w:id="150633984">
                              <w:marLeft w:val="0"/>
                              <w:marRight w:val="0"/>
                              <w:marTop w:val="0"/>
                              <w:marBottom w:val="0"/>
                              <w:divBdr>
                                <w:top w:val="none" w:sz="0" w:space="0" w:color="auto"/>
                                <w:left w:val="none" w:sz="0" w:space="0" w:color="auto"/>
                                <w:bottom w:val="none" w:sz="0" w:space="0" w:color="auto"/>
                                <w:right w:val="none" w:sz="0" w:space="0" w:color="auto"/>
                              </w:divBdr>
                              <w:divsChild>
                                <w:div w:id="1951812560">
                                  <w:marLeft w:val="0"/>
                                  <w:marRight w:val="0"/>
                                  <w:marTop w:val="0"/>
                                  <w:marBottom w:val="0"/>
                                  <w:divBdr>
                                    <w:top w:val="none" w:sz="0" w:space="0" w:color="auto"/>
                                    <w:left w:val="none" w:sz="0" w:space="0" w:color="auto"/>
                                    <w:bottom w:val="none" w:sz="0" w:space="0" w:color="auto"/>
                                    <w:right w:val="none" w:sz="0" w:space="0" w:color="auto"/>
                                  </w:divBdr>
                                  <w:divsChild>
                                    <w:div w:id="295381441">
                                      <w:marLeft w:val="0"/>
                                      <w:marRight w:val="0"/>
                                      <w:marTop w:val="0"/>
                                      <w:marBottom w:val="0"/>
                                      <w:divBdr>
                                        <w:top w:val="none" w:sz="0" w:space="0" w:color="auto"/>
                                        <w:left w:val="none" w:sz="0" w:space="0" w:color="auto"/>
                                        <w:bottom w:val="none" w:sz="0" w:space="0" w:color="auto"/>
                                        <w:right w:val="none" w:sz="0" w:space="0" w:color="auto"/>
                                      </w:divBdr>
                                      <w:divsChild>
                                        <w:div w:id="1588297143">
                                          <w:marLeft w:val="0"/>
                                          <w:marRight w:val="0"/>
                                          <w:marTop w:val="0"/>
                                          <w:marBottom w:val="0"/>
                                          <w:divBdr>
                                            <w:top w:val="none" w:sz="0" w:space="0" w:color="auto"/>
                                            <w:left w:val="none" w:sz="0" w:space="0" w:color="auto"/>
                                            <w:bottom w:val="none" w:sz="0" w:space="0" w:color="auto"/>
                                            <w:right w:val="none" w:sz="0" w:space="0" w:color="auto"/>
                                          </w:divBdr>
                                          <w:divsChild>
                                            <w:div w:id="747384934">
                                              <w:marLeft w:val="0"/>
                                              <w:marRight w:val="0"/>
                                              <w:marTop w:val="0"/>
                                              <w:marBottom w:val="0"/>
                                              <w:divBdr>
                                                <w:top w:val="none" w:sz="0" w:space="0" w:color="auto"/>
                                                <w:left w:val="none" w:sz="0" w:space="0" w:color="auto"/>
                                                <w:bottom w:val="none" w:sz="0" w:space="0" w:color="auto"/>
                                                <w:right w:val="none" w:sz="0" w:space="0" w:color="auto"/>
                                              </w:divBdr>
                                              <w:divsChild>
                                                <w:div w:id="168911620">
                                                  <w:marLeft w:val="0"/>
                                                  <w:marRight w:val="0"/>
                                                  <w:marTop w:val="0"/>
                                                  <w:marBottom w:val="0"/>
                                                  <w:divBdr>
                                                    <w:top w:val="none" w:sz="0" w:space="0" w:color="auto"/>
                                                    <w:left w:val="none" w:sz="0" w:space="0" w:color="auto"/>
                                                    <w:bottom w:val="none" w:sz="0" w:space="0" w:color="auto"/>
                                                    <w:right w:val="none" w:sz="0" w:space="0" w:color="auto"/>
                                                  </w:divBdr>
                                                  <w:divsChild>
                                                    <w:div w:id="329531066">
                                                      <w:marLeft w:val="0"/>
                                                      <w:marRight w:val="0"/>
                                                      <w:marTop w:val="0"/>
                                                      <w:marBottom w:val="0"/>
                                                      <w:divBdr>
                                                        <w:top w:val="none" w:sz="0" w:space="0" w:color="auto"/>
                                                        <w:left w:val="none" w:sz="0" w:space="0" w:color="auto"/>
                                                        <w:bottom w:val="none" w:sz="0" w:space="0" w:color="auto"/>
                                                        <w:right w:val="none" w:sz="0" w:space="0" w:color="auto"/>
                                                      </w:divBdr>
                                                      <w:divsChild>
                                                        <w:div w:id="1262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619788">
      <w:bodyDiv w:val="1"/>
      <w:marLeft w:val="0"/>
      <w:marRight w:val="0"/>
      <w:marTop w:val="0"/>
      <w:marBottom w:val="0"/>
      <w:divBdr>
        <w:top w:val="none" w:sz="0" w:space="0" w:color="auto"/>
        <w:left w:val="none" w:sz="0" w:space="0" w:color="auto"/>
        <w:bottom w:val="none" w:sz="0" w:space="0" w:color="auto"/>
        <w:right w:val="none" w:sz="0" w:space="0" w:color="auto"/>
      </w:divBdr>
    </w:div>
    <w:div w:id="20570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vorak.martin@brno.cz" TargetMode="External"/><Relationship Id="rId18" Type="http://schemas.openxmlformats.org/officeDocument/2006/relationships/hyperlink" Target="mailto:zvara.jan@brno.cz" TargetMode="External"/><Relationship Id="rId26" Type="http://schemas.openxmlformats.org/officeDocument/2006/relationships/hyperlink" Target="mailto:maly.jiri@kambrno.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zvara.jan@brno.cz" TargetMode="External"/><Relationship Id="rId17" Type="http://schemas.openxmlformats.org/officeDocument/2006/relationships/hyperlink" Target="mailto:podpora@ezak.cz" TargetMode="External"/><Relationship Id="rId25" Type="http://schemas.openxmlformats.org/officeDocument/2006/relationships/hyperlink" Target="mailto:zvara.jan@brno.cz" TargetMode="External"/><Relationship Id="rId2" Type="http://schemas.openxmlformats.org/officeDocument/2006/relationships/customXml" Target="../customXml/item2.xml"/><Relationship Id="rId16" Type="http://schemas.openxmlformats.org/officeDocument/2006/relationships/hyperlink" Target="https://ezak.e-tenders.cz/data/manual/EZAK-Manual-Dodavatele.pdf"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zak.brno.cz/"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dvorak.martin@brno.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ly.jiri@kambrno.cz" TargetMode="External"/><Relationship Id="rId22" Type="http://schemas.openxmlformats.org/officeDocument/2006/relationships/footer" Target="footer2.xml"/><Relationship Id="rId27" Type="http://schemas.openxmlformats.org/officeDocument/2006/relationships/chart" Target="charts/chart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eonika\Documents\KAM\v&#345;_operator\2019\00_Management\00_Vyberove_rizeni\typy_uzem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List1!$A$12</c:f>
              <c:strCache>
                <c:ptCount val="1"/>
                <c:pt idx="0">
                  <c:v>NN</c:v>
                </c:pt>
              </c:strCache>
            </c:strRef>
          </c:tx>
          <c:spPr>
            <a:solidFill>
              <a:schemeClr val="accent1"/>
            </a:solidFill>
            <a:ln>
              <a:noFill/>
            </a:ln>
            <a:effectLst/>
          </c:spPr>
          <c:invertIfNegative val="0"/>
          <c:cat>
            <c:numRef>
              <c:f>List1!$B$11:$Y$11</c:f>
              <c:numCache>
                <c:formatCode>General</c:formatCode>
                <c:ptCount val="24"/>
                <c:pt idx="0">
                  <c:v>0.5</c:v>
                </c:pt>
                <c:pt idx="1">
                  <c:v>1.5</c:v>
                </c:pt>
                <c:pt idx="2">
                  <c:v>2.5</c:v>
                </c:pt>
                <c:pt idx="3">
                  <c:v>3.5</c:v>
                </c:pt>
                <c:pt idx="4">
                  <c:v>4.5</c:v>
                </c:pt>
                <c:pt idx="5">
                  <c:v>5.5</c:v>
                </c:pt>
                <c:pt idx="6">
                  <c:v>6.5</c:v>
                </c:pt>
                <c:pt idx="7">
                  <c:v>7.5</c:v>
                </c:pt>
                <c:pt idx="8">
                  <c:v>8.5</c:v>
                </c:pt>
                <c:pt idx="9">
                  <c:v>9.5</c:v>
                </c:pt>
                <c:pt idx="10">
                  <c:v>10.5</c:v>
                </c:pt>
                <c:pt idx="11">
                  <c:v>11.5</c:v>
                </c:pt>
                <c:pt idx="12">
                  <c:v>12.5</c:v>
                </c:pt>
                <c:pt idx="13">
                  <c:v>13.5</c:v>
                </c:pt>
                <c:pt idx="14">
                  <c:v>14.5</c:v>
                </c:pt>
                <c:pt idx="15">
                  <c:v>15.5</c:v>
                </c:pt>
                <c:pt idx="16">
                  <c:v>16.5</c:v>
                </c:pt>
                <c:pt idx="17">
                  <c:v>17.5</c:v>
                </c:pt>
                <c:pt idx="18">
                  <c:v>18.5</c:v>
                </c:pt>
                <c:pt idx="19">
                  <c:v>19.5</c:v>
                </c:pt>
                <c:pt idx="20">
                  <c:v>20.5</c:v>
                </c:pt>
                <c:pt idx="21">
                  <c:v>21.5</c:v>
                </c:pt>
                <c:pt idx="22">
                  <c:v>22.5</c:v>
                </c:pt>
                <c:pt idx="23">
                  <c:v>23.5</c:v>
                </c:pt>
              </c:numCache>
            </c:numRef>
          </c:cat>
          <c:val>
            <c:numRef>
              <c:f>List1!$B$12:$Y$12</c:f>
              <c:numCache>
                <c:formatCode>General</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numCache>
            </c:numRef>
          </c:val>
          <c:extLst>
            <c:ext xmlns:c16="http://schemas.microsoft.com/office/drawing/2014/chart" uri="{C3380CC4-5D6E-409C-BE32-E72D297353CC}">
              <c16:uniqueId val="{00000000-575A-4364-9219-BF65A8540C84}"/>
            </c:ext>
          </c:extLst>
        </c:ser>
        <c:ser>
          <c:idx val="1"/>
          <c:order val="1"/>
          <c:tx>
            <c:strRef>
              <c:f>List1!$A$13</c:f>
              <c:strCache>
                <c:ptCount val="1"/>
                <c:pt idx="0">
                  <c:v>PN</c:v>
                </c:pt>
              </c:strCache>
            </c:strRef>
          </c:tx>
          <c:spPr>
            <a:solidFill>
              <a:schemeClr val="accent2"/>
            </a:solidFill>
            <a:ln>
              <a:noFill/>
            </a:ln>
            <a:effectLst/>
          </c:spPr>
          <c:invertIfNegative val="0"/>
          <c:cat>
            <c:numRef>
              <c:f>List1!$B$11:$Y$11</c:f>
              <c:numCache>
                <c:formatCode>General</c:formatCode>
                <c:ptCount val="24"/>
                <c:pt idx="0">
                  <c:v>0.5</c:v>
                </c:pt>
                <c:pt idx="1">
                  <c:v>1.5</c:v>
                </c:pt>
                <c:pt idx="2">
                  <c:v>2.5</c:v>
                </c:pt>
                <c:pt idx="3">
                  <c:v>3.5</c:v>
                </c:pt>
                <c:pt idx="4">
                  <c:v>4.5</c:v>
                </c:pt>
                <c:pt idx="5">
                  <c:v>5.5</c:v>
                </c:pt>
                <c:pt idx="6">
                  <c:v>6.5</c:v>
                </c:pt>
                <c:pt idx="7">
                  <c:v>7.5</c:v>
                </c:pt>
                <c:pt idx="8">
                  <c:v>8.5</c:v>
                </c:pt>
                <c:pt idx="9">
                  <c:v>9.5</c:v>
                </c:pt>
                <c:pt idx="10">
                  <c:v>10.5</c:v>
                </c:pt>
                <c:pt idx="11">
                  <c:v>11.5</c:v>
                </c:pt>
                <c:pt idx="12">
                  <c:v>12.5</c:v>
                </c:pt>
                <c:pt idx="13">
                  <c:v>13.5</c:v>
                </c:pt>
                <c:pt idx="14">
                  <c:v>14.5</c:v>
                </c:pt>
                <c:pt idx="15">
                  <c:v>15.5</c:v>
                </c:pt>
                <c:pt idx="16">
                  <c:v>16.5</c:v>
                </c:pt>
                <c:pt idx="17">
                  <c:v>17.5</c:v>
                </c:pt>
                <c:pt idx="18">
                  <c:v>18.5</c:v>
                </c:pt>
                <c:pt idx="19">
                  <c:v>19.5</c:v>
                </c:pt>
                <c:pt idx="20">
                  <c:v>20.5</c:v>
                </c:pt>
                <c:pt idx="21">
                  <c:v>21.5</c:v>
                </c:pt>
                <c:pt idx="22">
                  <c:v>22.5</c:v>
                </c:pt>
                <c:pt idx="23">
                  <c:v>23.5</c:v>
                </c:pt>
              </c:numCache>
            </c:numRef>
          </c:cat>
          <c:val>
            <c:numRef>
              <c:f>List1!$B$13:$Y$13</c:f>
              <c:numCache>
                <c:formatCode>General</c:formatCode>
                <c:ptCount val="24"/>
                <c:pt idx="0">
                  <c:v>6</c:v>
                </c:pt>
                <c:pt idx="1">
                  <c:v>6</c:v>
                </c:pt>
                <c:pt idx="2">
                  <c:v>6</c:v>
                </c:pt>
                <c:pt idx="3">
                  <c:v>6</c:v>
                </c:pt>
                <c:pt idx="4">
                  <c:v>3</c:v>
                </c:pt>
                <c:pt idx="5">
                  <c:v>3</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numCache>
            </c:numRef>
          </c:val>
          <c:extLst>
            <c:ext xmlns:c16="http://schemas.microsoft.com/office/drawing/2014/chart" uri="{C3380CC4-5D6E-409C-BE32-E72D297353CC}">
              <c16:uniqueId val="{00000001-575A-4364-9219-BF65A8540C84}"/>
            </c:ext>
          </c:extLst>
        </c:ser>
        <c:ser>
          <c:idx val="2"/>
          <c:order val="2"/>
          <c:tx>
            <c:strRef>
              <c:f>List1!$A$14</c:f>
              <c:strCache>
                <c:ptCount val="1"/>
                <c:pt idx="0">
                  <c:v>PŠ</c:v>
                </c:pt>
              </c:strCache>
            </c:strRef>
          </c:tx>
          <c:spPr>
            <a:solidFill>
              <a:schemeClr val="accent3"/>
            </a:solidFill>
            <a:ln>
              <a:noFill/>
            </a:ln>
            <a:effectLst/>
          </c:spPr>
          <c:invertIfNegative val="0"/>
          <c:cat>
            <c:numRef>
              <c:f>List1!$B$11:$Y$11</c:f>
              <c:numCache>
                <c:formatCode>General</c:formatCode>
                <c:ptCount val="24"/>
                <c:pt idx="0">
                  <c:v>0.5</c:v>
                </c:pt>
                <c:pt idx="1">
                  <c:v>1.5</c:v>
                </c:pt>
                <c:pt idx="2">
                  <c:v>2.5</c:v>
                </c:pt>
                <c:pt idx="3">
                  <c:v>3.5</c:v>
                </c:pt>
                <c:pt idx="4">
                  <c:v>4.5</c:v>
                </c:pt>
                <c:pt idx="5">
                  <c:v>5.5</c:v>
                </c:pt>
                <c:pt idx="6">
                  <c:v>6.5</c:v>
                </c:pt>
                <c:pt idx="7">
                  <c:v>7.5</c:v>
                </c:pt>
                <c:pt idx="8">
                  <c:v>8.5</c:v>
                </c:pt>
                <c:pt idx="9">
                  <c:v>9.5</c:v>
                </c:pt>
                <c:pt idx="10">
                  <c:v>10.5</c:v>
                </c:pt>
                <c:pt idx="11">
                  <c:v>11.5</c:v>
                </c:pt>
                <c:pt idx="12">
                  <c:v>12.5</c:v>
                </c:pt>
                <c:pt idx="13">
                  <c:v>13.5</c:v>
                </c:pt>
                <c:pt idx="14">
                  <c:v>14.5</c:v>
                </c:pt>
                <c:pt idx="15">
                  <c:v>15.5</c:v>
                </c:pt>
                <c:pt idx="16">
                  <c:v>16.5</c:v>
                </c:pt>
                <c:pt idx="17">
                  <c:v>17.5</c:v>
                </c:pt>
                <c:pt idx="18">
                  <c:v>18.5</c:v>
                </c:pt>
                <c:pt idx="19">
                  <c:v>19.5</c:v>
                </c:pt>
                <c:pt idx="20">
                  <c:v>20.5</c:v>
                </c:pt>
                <c:pt idx="21">
                  <c:v>21.5</c:v>
                </c:pt>
                <c:pt idx="22">
                  <c:v>22.5</c:v>
                </c:pt>
                <c:pt idx="23">
                  <c:v>23.5</c:v>
                </c:pt>
              </c:numCache>
            </c:numRef>
          </c:cat>
          <c:val>
            <c:numRef>
              <c:f>List1!$B$14:$Y$14</c:f>
              <c:numCache>
                <c:formatCode>General</c:formatCode>
                <c:ptCount val="24"/>
                <c:pt idx="0">
                  <c:v>0</c:v>
                </c:pt>
                <c:pt idx="1">
                  <c:v>0</c:v>
                </c:pt>
                <c:pt idx="2">
                  <c:v>0</c:v>
                </c:pt>
                <c:pt idx="3">
                  <c:v>0</c:v>
                </c:pt>
                <c:pt idx="4">
                  <c:v>3</c:v>
                </c:pt>
                <c:pt idx="5">
                  <c:v>3</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extLst>
            <c:ext xmlns:c16="http://schemas.microsoft.com/office/drawing/2014/chart" uri="{C3380CC4-5D6E-409C-BE32-E72D297353CC}">
              <c16:uniqueId val="{00000002-575A-4364-9219-BF65A8540C84}"/>
            </c:ext>
          </c:extLst>
        </c:ser>
        <c:dLbls>
          <c:showLegendKey val="0"/>
          <c:showVal val="0"/>
          <c:showCatName val="0"/>
          <c:showSerName val="0"/>
          <c:showPercent val="0"/>
          <c:showBubbleSize val="0"/>
        </c:dLbls>
        <c:gapWidth val="0"/>
        <c:overlap val="100"/>
        <c:axId val="797013992"/>
        <c:axId val="797011248"/>
      </c:barChart>
      <c:catAx>
        <c:axId val="797013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čas strávený v území (h)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97011248"/>
        <c:crosses val="autoZero"/>
        <c:auto val="1"/>
        <c:lblAlgn val="ctr"/>
        <c:lblOffset val="100"/>
        <c:noMultiLvlLbl val="0"/>
      </c:catAx>
      <c:valAx>
        <c:axId val="797011248"/>
        <c:scaling>
          <c:orientation val="minMax"/>
          <c:max val="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frekvence cest (X-krát v týdnu)</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9701399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1796039352FB43AFBEE541FDFAFCAB" ma:contentTypeVersion="13" ma:contentTypeDescription="Vytvoří nový dokument" ma:contentTypeScope="" ma:versionID="9736dda547b70033a4d7d0fb9ab99406">
  <xsd:schema xmlns:xsd="http://www.w3.org/2001/XMLSchema" xmlns:xs="http://www.w3.org/2001/XMLSchema" xmlns:p="http://schemas.microsoft.com/office/2006/metadata/properties" xmlns:ns3="1fc3ed4e-9d42-4e40-96ab-8440a8decf29" xmlns:ns4="f8909d47-70e8-4876-902b-4dc701c61dd4" targetNamespace="http://schemas.microsoft.com/office/2006/metadata/properties" ma:root="true" ma:fieldsID="140c50466349476060e914342289623d" ns3:_="" ns4:_="">
    <xsd:import namespace="1fc3ed4e-9d42-4e40-96ab-8440a8decf29"/>
    <xsd:import namespace="f8909d47-70e8-4876-902b-4dc701c61d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3ed4e-9d42-4e40-96ab-8440a8decf29"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09d47-70e8-4876-902b-4dc701c61d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1fc3ed4e-9d42-4e40-96ab-8440a8decf29">
      <UserInfo>
        <DisplayName>Jirků Radim (Magistrát města Brna)</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141EC-A40C-4D2C-816E-BE2760ACB272}">
  <ds:schemaRefs>
    <ds:schemaRef ds:uri="http://schemas.microsoft.com/office/2006/metadata/longProperties"/>
  </ds:schemaRefs>
</ds:datastoreItem>
</file>

<file path=customXml/itemProps2.xml><?xml version="1.0" encoding="utf-8"?>
<ds:datastoreItem xmlns:ds="http://schemas.openxmlformats.org/officeDocument/2006/customXml" ds:itemID="{BCBB92E4-42A8-4AE4-99C4-02729BBB9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3ed4e-9d42-4e40-96ab-8440a8decf29"/>
    <ds:schemaRef ds:uri="f8909d47-70e8-4876-902b-4dc701c61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E6BA8-9271-4FA8-8645-D882E741EA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8909d47-70e8-4876-902b-4dc701c61dd4"/>
    <ds:schemaRef ds:uri="http://purl.org/dc/terms/"/>
    <ds:schemaRef ds:uri="http://schemas.openxmlformats.org/package/2006/metadata/core-properties"/>
    <ds:schemaRef ds:uri="1fc3ed4e-9d42-4e40-96ab-8440a8decf29"/>
    <ds:schemaRef ds:uri="http://www.w3.org/XML/1998/namespace"/>
    <ds:schemaRef ds:uri="http://purl.org/dc/dcmitype/"/>
  </ds:schemaRefs>
</ds:datastoreItem>
</file>

<file path=customXml/itemProps4.xml><?xml version="1.0" encoding="utf-8"?>
<ds:datastoreItem xmlns:ds="http://schemas.openxmlformats.org/officeDocument/2006/customXml" ds:itemID="{581D96E3-A89E-493A-B3BC-754E652F5A3A}">
  <ds:schemaRefs>
    <ds:schemaRef ds:uri="http://schemas.microsoft.com/sharepoint/v3/contenttype/forms"/>
  </ds:schemaRefs>
</ds:datastoreItem>
</file>

<file path=customXml/itemProps5.xml><?xml version="1.0" encoding="utf-8"?>
<ds:datastoreItem xmlns:ds="http://schemas.openxmlformats.org/officeDocument/2006/customXml" ds:itemID="{FDCE5532-9A2E-4A97-854A-B4156EED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7922</Words>
  <Characters>46942</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Smlouva o provedení sociologického výzkumu</vt:lpstr>
    </vt:vector>
  </TitlesOfParts>
  <Company>MMB</Company>
  <LinksUpToDate>false</LinksUpToDate>
  <CharactersWithSpaces>54755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sociologického výzkumu</dc:title>
  <dc:subject/>
  <dc:creator>geisler</dc:creator>
  <cp:keywords/>
  <dc:description/>
  <cp:lastModifiedBy>Rokytová Jana (Magistrát města Brna)</cp:lastModifiedBy>
  <cp:revision>5</cp:revision>
  <cp:lastPrinted>2019-12-17T08:14:00Z</cp:lastPrinted>
  <dcterms:created xsi:type="dcterms:W3CDTF">2020-09-30T14:13:00Z</dcterms:created>
  <dcterms:modified xsi:type="dcterms:W3CDTF">2020-09-30T14:31:00Z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07911add-3ca1-4537-8f3a-e7bb77318073</vt:lpwstr>
  </property>
  <property fmtid="{D5CDD505-2E9C-101B-9397-08002B2CF9AE}" pid="3" name="ContentTypeId">
    <vt:lpwstr>0x010100F71796039352FB43AFBEE541FDFAFCAB</vt:lpwstr>
  </property>
  <property fmtid="{D5CDD505-2E9C-101B-9397-08002B2CF9AE}" pid="4" name="_dlc_DocId">
    <vt:lpwstr>WW5FAMVX2JAK-552263398-12</vt:lpwstr>
  </property>
  <property fmtid="{D5CDD505-2E9C-101B-9397-08002B2CF9AE}" pid="5" name="_dlc_DocIdUrl">
    <vt:lpwstr>http://sharepoint.brno.cz/web/ZED/weby/RLZ_STG/_layouts/15/DocIdRedir.aspx?ID=WW5FAMVX2JAK-552263398-12, WW5FAMVX2JAK-552263398-12</vt:lpwstr>
  </property>
</Properties>
</file>