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06774" w14:textId="7439A210" w:rsidR="002361A9" w:rsidRDefault="001A569F">
      <w:pPr>
        <w:rPr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7388A524" wp14:editId="04CDC40C">
            <wp:simplePos x="0" y="0"/>
            <wp:positionH relativeFrom="column">
              <wp:posOffset>6081395</wp:posOffset>
            </wp:positionH>
            <wp:positionV relativeFrom="paragraph">
              <wp:posOffset>-385445</wp:posOffset>
            </wp:positionV>
            <wp:extent cx="314474" cy="1771650"/>
            <wp:effectExtent l="0" t="0" r="9525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visl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474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D9200" w14:textId="4110AEEA" w:rsidR="002361A9" w:rsidRDefault="004A6732">
      <w:pPr>
        <w:rPr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799BB7B7" wp14:editId="3EED717D">
            <wp:simplePos x="0" y="0"/>
            <wp:positionH relativeFrom="column">
              <wp:posOffset>-537845</wp:posOffset>
            </wp:positionH>
            <wp:positionV relativeFrom="paragraph">
              <wp:posOffset>291465</wp:posOffset>
            </wp:positionV>
            <wp:extent cx="6866890" cy="4618355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6890" cy="4618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46E111" w14:textId="0E507E79" w:rsidR="002361A9" w:rsidRDefault="002361A9">
      <w:pPr>
        <w:rPr>
          <w:b/>
        </w:rPr>
      </w:pPr>
    </w:p>
    <w:p w14:paraId="5F352590" w14:textId="393591AE" w:rsidR="002361A9" w:rsidRDefault="002361A9">
      <w:pPr>
        <w:rPr>
          <w:b/>
        </w:rPr>
      </w:pPr>
    </w:p>
    <w:p w14:paraId="14EEDDBB" w14:textId="6C128495" w:rsidR="002361A9" w:rsidRDefault="002361A9">
      <w:pPr>
        <w:rPr>
          <w:b/>
        </w:rPr>
      </w:pPr>
    </w:p>
    <w:p w14:paraId="2ABD0F4C" w14:textId="5B76AB0F" w:rsidR="002361A9" w:rsidRDefault="002361A9">
      <w:pPr>
        <w:rPr>
          <w:b/>
        </w:rPr>
      </w:pPr>
    </w:p>
    <w:p w14:paraId="3200B193" w14:textId="77777777" w:rsidR="002361A9" w:rsidRDefault="002361A9">
      <w:pPr>
        <w:rPr>
          <w:b/>
        </w:rPr>
      </w:pPr>
    </w:p>
    <w:p w14:paraId="5FA91B82" w14:textId="77777777" w:rsidR="002361A9" w:rsidRDefault="002361A9">
      <w:pPr>
        <w:rPr>
          <w:b/>
        </w:rPr>
      </w:pPr>
    </w:p>
    <w:p w14:paraId="75913286" w14:textId="77777777" w:rsidR="002361A9" w:rsidRDefault="002361A9">
      <w:pPr>
        <w:rPr>
          <w:b/>
        </w:rPr>
      </w:pPr>
    </w:p>
    <w:p w14:paraId="2CEDD04B" w14:textId="77777777" w:rsidR="004A6732" w:rsidRDefault="004A6732">
      <w:pPr>
        <w:rPr>
          <w:b/>
        </w:rPr>
      </w:pPr>
    </w:p>
    <w:p w14:paraId="1F46F049" w14:textId="77777777" w:rsidR="004A6732" w:rsidRDefault="004A6732">
      <w:pPr>
        <w:rPr>
          <w:b/>
        </w:rPr>
      </w:pPr>
    </w:p>
    <w:p w14:paraId="7F7CD1BE" w14:textId="1B110896" w:rsidR="004A6732" w:rsidRDefault="004A6732">
      <w:pPr>
        <w:rPr>
          <w:b/>
        </w:rPr>
      </w:pPr>
    </w:p>
    <w:p w14:paraId="03E0EEE4" w14:textId="77777777" w:rsidR="004A6732" w:rsidRDefault="004A6732">
      <w:pPr>
        <w:rPr>
          <w:b/>
        </w:rPr>
      </w:pPr>
    </w:p>
    <w:p w14:paraId="673960E4" w14:textId="77777777" w:rsidR="004A6732" w:rsidRDefault="004A6732">
      <w:pPr>
        <w:rPr>
          <w:b/>
        </w:rPr>
      </w:pPr>
    </w:p>
    <w:p w14:paraId="3A5CA2AA" w14:textId="77777777" w:rsidR="004A6732" w:rsidRDefault="004A6732">
      <w:pPr>
        <w:rPr>
          <w:b/>
        </w:rPr>
      </w:pPr>
    </w:p>
    <w:p w14:paraId="0ED9304C" w14:textId="77777777" w:rsidR="004A6732" w:rsidRDefault="004A6732">
      <w:pPr>
        <w:rPr>
          <w:b/>
        </w:rPr>
      </w:pPr>
    </w:p>
    <w:p w14:paraId="3D1E9399" w14:textId="77777777" w:rsidR="004A6732" w:rsidRDefault="004A6732">
      <w:pPr>
        <w:rPr>
          <w:b/>
        </w:rPr>
      </w:pPr>
    </w:p>
    <w:p w14:paraId="59113311" w14:textId="77777777" w:rsidR="004A6732" w:rsidRDefault="004A6732">
      <w:pPr>
        <w:rPr>
          <w:b/>
        </w:rPr>
      </w:pPr>
    </w:p>
    <w:p w14:paraId="5E4C38E3" w14:textId="77777777" w:rsidR="002361A9" w:rsidRDefault="002361A9">
      <w:pPr>
        <w:rPr>
          <w:b/>
        </w:rPr>
      </w:pPr>
    </w:p>
    <w:p w14:paraId="2D2F4032" w14:textId="77777777" w:rsidR="002361A9" w:rsidRPr="002361A9" w:rsidRDefault="002361A9" w:rsidP="002361A9">
      <w:pPr>
        <w:jc w:val="center"/>
        <w:rPr>
          <w:b/>
          <w:sz w:val="42"/>
          <w:szCs w:val="42"/>
        </w:rPr>
      </w:pPr>
      <w:r w:rsidRPr="002361A9">
        <w:rPr>
          <w:b/>
          <w:sz w:val="42"/>
          <w:szCs w:val="42"/>
        </w:rPr>
        <w:t>VÝSTAVBA OBJEKTU MILADY HORÁKOVÉ 18, BRNO</w:t>
      </w:r>
    </w:p>
    <w:p w14:paraId="08BE8EF1" w14:textId="77777777" w:rsidR="002361A9" w:rsidRPr="002361A9" w:rsidRDefault="002361A9" w:rsidP="002361A9">
      <w:pPr>
        <w:jc w:val="center"/>
        <w:rPr>
          <w:b/>
          <w:sz w:val="52"/>
          <w:szCs w:val="52"/>
        </w:rPr>
      </w:pPr>
      <w:r w:rsidRPr="002361A9">
        <w:rPr>
          <w:b/>
          <w:sz w:val="52"/>
          <w:szCs w:val="52"/>
        </w:rPr>
        <w:t>STUDIE</w:t>
      </w:r>
    </w:p>
    <w:p w14:paraId="31999798" w14:textId="77777777" w:rsidR="002361A9" w:rsidRDefault="002361A9">
      <w:pPr>
        <w:rPr>
          <w:b/>
        </w:rPr>
      </w:pPr>
    </w:p>
    <w:p w14:paraId="34136F62" w14:textId="77777777" w:rsidR="002361A9" w:rsidRDefault="002361A9">
      <w:pPr>
        <w:rPr>
          <w:b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6977"/>
      </w:tblGrid>
      <w:tr w:rsidR="002361A9" w:rsidRPr="002361A9" w14:paraId="479B8FBD" w14:textId="77777777" w:rsidTr="0092088C">
        <w:tc>
          <w:tcPr>
            <w:tcW w:w="2235" w:type="dxa"/>
          </w:tcPr>
          <w:p w14:paraId="68A4E282" w14:textId="77777777" w:rsidR="002361A9" w:rsidRPr="002361A9" w:rsidRDefault="002361A9">
            <w:r w:rsidRPr="002361A9">
              <w:t>datum</w:t>
            </w:r>
            <w:r>
              <w:t>:</w:t>
            </w:r>
          </w:p>
        </w:tc>
        <w:tc>
          <w:tcPr>
            <w:tcW w:w="6977" w:type="dxa"/>
          </w:tcPr>
          <w:p w14:paraId="18928240" w14:textId="77777777" w:rsidR="002361A9" w:rsidRPr="002361A9" w:rsidRDefault="002361A9" w:rsidP="002361A9">
            <w:pPr>
              <w:jc w:val="right"/>
            </w:pPr>
            <w:r w:rsidRPr="002361A9">
              <w:t>03/2024</w:t>
            </w:r>
          </w:p>
        </w:tc>
      </w:tr>
      <w:tr w:rsidR="002361A9" w:rsidRPr="002361A9" w14:paraId="3E08310A" w14:textId="77777777" w:rsidTr="0092088C">
        <w:tc>
          <w:tcPr>
            <w:tcW w:w="2235" w:type="dxa"/>
          </w:tcPr>
          <w:p w14:paraId="35E6323B" w14:textId="77777777" w:rsidR="002361A9" w:rsidRPr="002361A9" w:rsidRDefault="002361A9" w:rsidP="002361A9">
            <w:r>
              <w:t>zpracovatel:</w:t>
            </w:r>
          </w:p>
        </w:tc>
        <w:tc>
          <w:tcPr>
            <w:tcW w:w="6977" w:type="dxa"/>
          </w:tcPr>
          <w:p w14:paraId="5B21E2D7" w14:textId="77777777" w:rsidR="002361A9" w:rsidRPr="002361A9" w:rsidRDefault="002361A9" w:rsidP="002361A9">
            <w:pPr>
              <w:jc w:val="right"/>
            </w:pPr>
            <w:r w:rsidRPr="002361A9">
              <w:t>Projekční kancelář atelier DWG s.r.o.</w:t>
            </w:r>
            <w:r>
              <w:t>, IČ 10939695</w:t>
            </w:r>
          </w:p>
        </w:tc>
      </w:tr>
      <w:tr w:rsidR="002361A9" w:rsidRPr="002361A9" w14:paraId="5F66751D" w14:textId="77777777" w:rsidTr="0092088C">
        <w:tc>
          <w:tcPr>
            <w:tcW w:w="2235" w:type="dxa"/>
          </w:tcPr>
          <w:p w14:paraId="5B4E2BCA" w14:textId="77777777" w:rsidR="002361A9" w:rsidRPr="002361A9" w:rsidRDefault="002361A9" w:rsidP="002361A9"/>
        </w:tc>
        <w:tc>
          <w:tcPr>
            <w:tcW w:w="6977" w:type="dxa"/>
          </w:tcPr>
          <w:p w14:paraId="60F2D872" w14:textId="77777777" w:rsidR="002361A9" w:rsidRPr="002361A9" w:rsidRDefault="002361A9" w:rsidP="002361A9">
            <w:pPr>
              <w:jc w:val="right"/>
            </w:pPr>
            <w:r>
              <w:t>Jana Babáka 2733/11, 612 00 Brno</w:t>
            </w:r>
          </w:p>
        </w:tc>
      </w:tr>
      <w:tr w:rsidR="002361A9" w:rsidRPr="002361A9" w14:paraId="3C90FD88" w14:textId="77777777" w:rsidTr="0092088C">
        <w:tc>
          <w:tcPr>
            <w:tcW w:w="2235" w:type="dxa"/>
          </w:tcPr>
          <w:p w14:paraId="78A7C25B" w14:textId="77777777" w:rsidR="002361A9" w:rsidRPr="002361A9" w:rsidRDefault="002361A9">
            <w:r>
              <w:t>objednatel:</w:t>
            </w:r>
          </w:p>
        </w:tc>
        <w:tc>
          <w:tcPr>
            <w:tcW w:w="6977" w:type="dxa"/>
          </w:tcPr>
          <w:p w14:paraId="56D821AE" w14:textId="77777777" w:rsidR="002361A9" w:rsidRPr="002361A9" w:rsidRDefault="002361A9" w:rsidP="002361A9">
            <w:pPr>
              <w:jc w:val="right"/>
            </w:pPr>
            <w:r>
              <w:t xml:space="preserve">Statutární město Brno, IČ </w:t>
            </w:r>
            <w:r w:rsidR="0092088C">
              <w:t>44992785</w:t>
            </w:r>
          </w:p>
        </w:tc>
      </w:tr>
      <w:tr w:rsidR="002361A9" w:rsidRPr="002361A9" w14:paraId="1A146A93" w14:textId="77777777" w:rsidTr="0092088C">
        <w:tc>
          <w:tcPr>
            <w:tcW w:w="2235" w:type="dxa"/>
          </w:tcPr>
          <w:p w14:paraId="215B24C6" w14:textId="77777777" w:rsidR="002361A9" w:rsidRPr="002361A9" w:rsidRDefault="002361A9"/>
        </w:tc>
        <w:tc>
          <w:tcPr>
            <w:tcW w:w="6977" w:type="dxa"/>
          </w:tcPr>
          <w:p w14:paraId="409E75A7" w14:textId="77777777" w:rsidR="002361A9" w:rsidRPr="002361A9" w:rsidRDefault="0092088C" w:rsidP="002361A9">
            <w:pPr>
              <w:jc w:val="right"/>
            </w:pPr>
            <w:r>
              <w:t>Dominikánské náměstí 196/1, 602 00 Brno</w:t>
            </w:r>
          </w:p>
        </w:tc>
      </w:tr>
    </w:tbl>
    <w:p w14:paraId="1C495A41" w14:textId="77777777" w:rsidR="00F740A9" w:rsidRDefault="00F740A9">
      <w:pPr>
        <w:rPr>
          <w:b/>
        </w:rPr>
      </w:pPr>
    </w:p>
    <w:p w14:paraId="451822B7" w14:textId="77777777" w:rsidR="00F740A9" w:rsidRDefault="00F740A9">
      <w:pPr>
        <w:rPr>
          <w:b/>
        </w:rPr>
      </w:pPr>
    </w:p>
    <w:p w14:paraId="49F89BAC" w14:textId="77777777" w:rsidR="004A1CBC" w:rsidRDefault="004A1CBC">
      <w:pPr>
        <w:rPr>
          <w:b/>
        </w:rPr>
      </w:pPr>
      <w:r>
        <w:rPr>
          <w:b/>
        </w:rPr>
        <w:t>obsah:</w:t>
      </w:r>
    </w:p>
    <w:p w14:paraId="6179037A" w14:textId="77777777" w:rsidR="00F740A9" w:rsidRDefault="00F740A9">
      <w:pPr>
        <w:rPr>
          <w:b/>
        </w:rPr>
      </w:pPr>
    </w:p>
    <w:p w14:paraId="7A875208" w14:textId="77777777" w:rsidR="004A1CBC" w:rsidRDefault="004A1CBC">
      <w:r>
        <w:rPr>
          <w:b/>
        </w:rPr>
        <w:tab/>
      </w:r>
      <w:r>
        <w:rPr>
          <w:b/>
        </w:rPr>
        <w:tab/>
      </w:r>
      <w:r>
        <w:t>textová část</w:t>
      </w:r>
    </w:p>
    <w:p w14:paraId="346300A2" w14:textId="77777777" w:rsidR="004A1CBC" w:rsidRDefault="004A1CBC" w:rsidP="004A1CBC">
      <w:pPr>
        <w:spacing w:after="0"/>
      </w:pPr>
      <w:r>
        <w:tab/>
      </w:r>
      <w:r>
        <w:tab/>
        <w:t>grafická část</w:t>
      </w:r>
    </w:p>
    <w:p w14:paraId="551C06EA" w14:textId="77777777" w:rsidR="004A1CBC" w:rsidRDefault="004A1CBC" w:rsidP="00300004">
      <w:pPr>
        <w:tabs>
          <w:tab w:val="left" w:pos="1843"/>
        </w:tabs>
        <w:spacing w:after="0"/>
        <w:ind w:left="1843"/>
      </w:pPr>
      <w:r>
        <w:t>celkový situační výkres</w:t>
      </w:r>
    </w:p>
    <w:p w14:paraId="2F422476" w14:textId="77777777" w:rsidR="004A1CBC" w:rsidRDefault="004A1CBC" w:rsidP="00300004">
      <w:pPr>
        <w:tabs>
          <w:tab w:val="left" w:pos="1843"/>
        </w:tabs>
        <w:spacing w:after="0"/>
        <w:ind w:left="1843"/>
      </w:pPr>
      <w:r>
        <w:t>půdorys 2.pp</w:t>
      </w:r>
    </w:p>
    <w:p w14:paraId="177D9A76" w14:textId="77777777" w:rsidR="004A1CBC" w:rsidRDefault="004A1CBC" w:rsidP="00300004">
      <w:pPr>
        <w:tabs>
          <w:tab w:val="left" w:pos="1843"/>
        </w:tabs>
        <w:spacing w:after="0"/>
        <w:ind w:left="1843"/>
      </w:pPr>
      <w:r>
        <w:t>půdorys 1.pp</w:t>
      </w:r>
    </w:p>
    <w:p w14:paraId="489B614E" w14:textId="77777777" w:rsidR="004A1CBC" w:rsidRDefault="004A1CBC" w:rsidP="00300004">
      <w:pPr>
        <w:tabs>
          <w:tab w:val="left" w:pos="1843"/>
        </w:tabs>
        <w:spacing w:after="0"/>
        <w:ind w:left="1843"/>
      </w:pPr>
      <w:r>
        <w:t>půdorys 1.np</w:t>
      </w:r>
    </w:p>
    <w:p w14:paraId="0BF0CF45" w14:textId="77777777" w:rsidR="004A1CBC" w:rsidRDefault="004A1CBC" w:rsidP="00300004">
      <w:pPr>
        <w:tabs>
          <w:tab w:val="left" w:pos="1843"/>
        </w:tabs>
        <w:spacing w:after="0"/>
        <w:ind w:left="1843"/>
      </w:pPr>
      <w:r>
        <w:t>půdorys 2.np</w:t>
      </w:r>
    </w:p>
    <w:p w14:paraId="304C4D0E" w14:textId="77777777" w:rsidR="004A1CBC" w:rsidRDefault="004A1CBC" w:rsidP="00300004">
      <w:pPr>
        <w:tabs>
          <w:tab w:val="left" w:pos="1843"/>
        </w:tabs>
        <w:spacing w:after="0"/>
        <w:ind w:left="1843"/>
      </w:pPr>
      <w:r>
        <w:t>půdorys 3.np</w:t>
      </w:r>
    </w:p>
    <w:p w14:paraId="7A34D465" w14:textId="77777777" w:rsidR="004A1CBC" w:rsidRDefault="004A1CBC" w:rsidP="00300004">
      <w:pPr>
        <w:tabs>
          <w:tab w:val="left" w:pos="1843"/>
        </w:tabs>
        <w:spacing w:after="0"/>
        <w:ind w:left="1843"/>
      </w:pPr>
      <w:r>
        <w:t>půdorys 4.np</w:t>
      </w:r>
    </w:p>
    <w:p w14:paraId="57C51D60" w14:textId="102B1D80" w:rsidR="004A1CBC" w:rsidRDefault="004A1CBC" w:rsidP="00300004">
      <w:pPr>
        <w:tabs>
          <w:tab w:val="left" w:pos="1843"/>
        </w:tabs>
        <w:spacing w:after="0"/>
        <w:ind w:left="1843"/>
      </w:pPr>
      <w:r>
        <w:t xml:space="preserve">půdorys </w:t>
      </w:r>
      <w:r w:rsidR="00F944E8">
        <w:t>5</w:t>
      </w:r>
      <w:r>
        <w:t>.np</w:t>
      </w:r>
    </w:p>
    <w:p w14:paraId="4004E14A" w14:textId="77777777" w:rsidR="004A1CBC" w:rsidRDefault="004A1CBC" w:rsidP="00300004">
      <w:pPr>
        <w:tabs>
          <w:tab w:val="left" w:pos="1843"/>
        </w:tabs>
        <w:spacing w:after="0"/>
        <w:ind w:left="1843"/>
      </w:pPr>
      <w:r>
        <w:t>půdorys 6.np</w:t>
      </w:r>
    </w:p>
    <w:p w14:paraId="16439F90" w14:textId="77777777" w:rsidR="004A1CBC" w:rsidRDefault="004A1CBC" w:rsidP="00300004">
      <w:pPr>
        <w:tabs>
          <w:tab w:val="left" w:pos="1843"/>
        </w:tabs>
        <w:spacing w:after="0"/>
        <w:ind w:left="1843"/>
      </w:pPr>
      <w:r>
        <w:t>půdorys 7.np</w:t>
      </w:r>
    </w:p>
    <w:p w14:paraId="3B4D1C52" w14:textId="77777777" w:rsidR="004A1CBC" w:rsidRDefault="004A1CBC" w:rsidP="00300004">
      <w:pPr>
        <w:tabs>
          <w:tab w:val="left" w:pos="1843"/>
        </w:tabs>
        <w:spacing w:after="0"/>
        <w:ind w:left="1843"/>
      </w:pPr>
      <w:r>
        <w:t>řez A</w:t>
      </w:r>
    </w:p>
    <w:p w14:paraId="18445ACC" w14:textId="77777777" w:rsidR="004A1CBC" w:rsidRDefault="004A1CBC" w:rsidP="00300004">
      <w:pPr>
        <w:tabs>
          <w:tab w:val="left" w:pos="1843"/>
        </w:tabs>
        <w:spacing w:after="0"/>
        <w:ind w:left="1843"/>
      </w:pPr>
      <w:r>
        <w:t>řez B</w:t>
      </w:r>
    </w:p>
    <w:p w14:paraId="115BF1E5" w14:textId="77777777" w:rsidR="004A1CBC" w:rsidRDefault="004A1CBC" w:rsidP="00300004">
      <w:pPr>
        <w:tabs>
          <w:tab w:val="left" w:pos="1843"/>
        </w:tabs>
        <w:spacing w:after="0"/>
        <w:ind w:left="1843"/>
      </w:pPr>
      <w:r>
        <w:t>pohledy uliční část</w:t>
      </w:r>
    </w:p>
    <w:p w14:paraId="0F5B90FF" w14:textId="77777777" w:rsidR="004A1CBC" w:rsidRDefault="004A1CBC" w:rsidP="00300004">
      <w:pPr>
        <w:tabs>
          <w:tab w:val="left" w:pos="1843"/>
        </w:tabs>
        <w:spacing w:after="0"/>
        <w:ind w:left="1843"/>
      </w:pPr>
      <w:r>
        <w:t>pohledy dvorní část</w:t>
      </w:r>
    </w:p>
    <w:p w14:paraId="46D63FF5" w14:textId="77777777" w:rsidR="004A1CBC" w:rsidRDefault="004A1CBC" w:rsidP="00300004">
      <w:pPr>
        <w:tabs>
          <w:tab w:val="left" w:pos="1843"/>
        </w:tabs>
        <w:ind w:left="1843"/>
      </w:pPr>
      <w:r>
        <w:t>perspektivy</w:t>
      </w:r>
    </w:p>
    <w:p w14:paraId="2460721F" w14:textId="77777777" w:rsidR="004A1CBC" w:rsidRDefault="004A1CBC">
      <w:r w:rsidRPr="004A1CBC">
        <w:tab/>
      </w:r>
      <w:r w:rsidRPr="004A1CBC">
        <w:tab/>
        <w:t xml:space="preserve">příloha 1 </w:t>
      </w:r>
      <w:r>
        <w:t>–</w:t>
      </w:r>
      <w:r w:rsidRPr="004A1CBC">
        <w:t xml:space="preserve"> </w:t>
      </w:r>
      <w:r>
        <w:t>inženýrsko geologické a hydrologické posouzení lokality</w:t>
      </w:r>
    </w:p>
    <w:p w14:paraId="2306DA1E" w14:textId="77777777" w:rsidR="004A1CBC" w:rsidRPr="004A1CBC" w:rsidRDefault="004A1CBC">
      <w:r>
        <w:tab/>
      </w:r>
      <w:r>
        <w:tab/>
        <w:t>příloha 2 – situační výkres inženýrských sítí</w:t>
      </w:r>
    </w:p>
    <w:p w14:paraId="58EA75FB" w14:textId="77777777" w:rsidR="004A1CBC" w:rsidRDefault="004A1CBC">
      <w:pPr>
        <w:rPr>
          <w:b/>
        </w:rPr>
      </w:pPr>
      <w:r>
        <w:rPr>
          <w:b/>
        </w:rPr>
        <w:br w:type="page"/>
      </w:r>
    </w:p>
    <w:p w14:paraId="35BD0A28" w14:textId="77777777" w:rsidR="008E3F90" w:rsidRPr="00C17DF7" w:rsidRDefault="008E3F90">
      <w:pPr>
        <w:rPr>
          <w:b/>
        </w:rPr>
      </w:pPr>
      <w:r w:rsidRPr="00C17DF7">
        <w:rPr>
          <w:b/>
        </w:rPr>
        <w:lastRenderedPageBreak/>
        <w:t>stávající stav</w:t>
      </w:r>
    </w:p>
    <w:p w14:paraId="303B708E" w14:textId="77777777" w:rsidR="00B20DC0" w:rsidRDefault="008E6BBB" w:rsidP="00B20DC0">
      <w:pPr>
        <w:jc w:val="both"/>
      </w:pPr>
      <w:r>
        <w:t>Řešené území je složeno z </w:t>
      </w:r>
      <w:proofErr w:type="spellStart"/>
      <w:r>
        <w:t>parc</w:t>
      </w:r>
      <w:proofErr w:type="spellEnd"/>
      <w:r>
        <w:t>. č. 544/1 a 561/1</w:t>
      </w:r>
      <w:r w:rsidR="005844FC">
        <w:t xml:space="preserve"> v </w:t>
      </w:r>
      <w:proofErr w:type="spellStart"/>
      <w:r w:rsidR="005844FC">
        <w:t>k.ú</w:t>
      </w:r>
      <w:proofErr w:type="spellEnd"/>
      <w:r w:rsidR="005844FC">
        <w:t>. Zábrdovice.  Toto území tvoří proluku ve stávající uliční frontě městské třídy Milady Horákové a vybíhá do vnitrobloku, kde se výrazně rozšiřuje do tvaru T.</w:t>
      </w:r>
    </w:p>
    <w:p w14:paraId="7359D11F" w14:textId="77777777" w:rsidR="008E3F90" w:rsidRDefault="005844FC" w:rsidP="00B20DC0">
      <w:pPr>
        <w:jc w:val="both"/>
      </w:pPr>
      <w:r>
        <w:t>Úroveň terénu prolu</w:t>
      </w:r>
      <w:r w:rsidR="00B20DC0">
        <w:t xml:space="preserve">ky je cca 3 m pod úrovní ulice. Proluka je v místě uliční čáry uzavřena jednoduchou zdí v. 2,4 m s hlavními vstupními dveřmi. Při západní hranici proluky, podél štítové stěny sousedního objektu stojí přízemní chodba propojující hlavní vstup z ulice Milady Horákové a dvorní objekty. Tato chodba je podsklepená, prostory </w:t>
      </w:r>
      <w:r w:rsidR="00636F95">
        <w:t xml:space="preserve">jejího </w:t>
      </w:r>
      <w:r w:rsidR="00B20DC0">
        <w:t>1.pp jsou přístupné ze sníženého terénu volné plochy proluky. Volná plocha proluky je nyní využita pro umístění cvičných vozidel.</w:t>
      </w:r>
    </w:p>
    <w:p w14:paraId="57B894C9" w14:textId="77777777" w:rsidR="00B20DC0" w:rsidRDefault="00636F95" w:rsidP="00B20DC0">
      <w:pPr>
        <w:jc w:val="both"/>
      </w:pPr>
      <w:r>
        <w:t xml:space="preserve">V prostoru dvora navazuje na spojovací chodbu přízemní objekt recepce. Úroveň podlahy 1.np dvorní části objektu je </w:t>
      </w:r>
      <w:r w:rsidR="00D220C0">
        <w:t>o 1,4 m níže než úroveň ulice Milady Horákové a propojující chodby.</w:t>
      </w:r>
    </w:p>
    <w:p w14:paraId="5F30CD0B" w14:textId="77777777" w:rsidR="000B351A" w:rsidRDefault="000B351A" w:rsidP="00B20DC0">
      <w:pPr>
        <w:jc w:val="both"/>
      </w:pPr>
      <w:r>
        <w:t xml:space="preserve">Příčné rameno T půdorysu je tvořeno </w:t>
      </w:r>
      <w:r w:rsidR="003943B4">
        <w:t xml:space="preserve">částečně podsklepenou hlavní hmotou o dvou nadzemích podlažích doplněnou o vystupující přízemní části a přístavky. V přízemí této části se nyní nachází hlavní tělocvična, posilovna, </w:t>
      </w:r>
      <w:proofErr w:type="spellStart"/>
      <w:r w:rsidR="003943B4">
        <w:t>úpolová</w:t>
      </w:r>
      <w:proofErr w:type="spellEnd"/>
      <w:r w:rsidR="003943B4">
        <w:t xml:space="preserve"> tělocvična, šatny, sprchy a učebny. V patře je umístěn kancelářský provoz, v podzemím podlaží sklady a šatny.</w:t>
      </w:r>
    </w:p>
    <w:p w14:paraId="6E36F9A8" w14:textId="5BDFB9F0" w:rsidR="003943B4" w:rsidRDefault="003943B4" w:rsidP="00B20DC0">
      <w:pPr>
        <w:jc w:val="both"/>
      </w:pPr>
      <w:r>
        <w:t xml:space="preserve">Tato </w:t>
      </w:r>
      <w:r w:rsidR="00F944E8">
        <w:t>d</w:t>
      </w:r>
      <w:r>
        <w:t>vorní část objektu s druhým vstupem je přístupná z prostoru vnitrobloku skrze průjezdy objektu IBC z ulice Příkop.</w:t>
      </w:r>
      <w:r w:rsidR="00B93189">
        <w:t xml:space="preserve"> Parkování vozidel je řešeno v omezené míře na k objektu přilehlé ploše vnitrobloku s váhovým limitem vozidel do 3,5t.</w:t>
      </w:r>
    </w:p>
    <w:p w14:paraId="4E1499FE" w14:textId="77777777" w:rsidR="005B13AF" w:rsidRDefault="00B93189" w:rsidP="00B20DC0">
      <w:pPr>
        <w:jc w:val="both"/>
      </w:pPr>
      <w:r>
        <w:t xml:space="preserve">Stávající objekt požadované funkci nevyhovuje kapacitně ani dispozičně. </w:t>
      </w:r>
      <w:r w:rsidR="007A3461">
        <w:t>Je tvořen seskupením několika postupně budovaných nejednotných přístaveb, jejichž mnohé části již překročili svoji životnost. Úprava stávajícího objektu se proto jeví jako neefektivní a návrh počítá s úplným odstraněním stávajících konstrukcí.</w:t>
      </w:r>
    </w:p>
    <w:p w14:paraId="076477C6" w14:textId="77777777" w:rsidR="00C17DF7" w:rsidRDefault="00C17DF7"/>
    <w:p w14:paraId="345399E2" w14:textId="77777777" w:rsidR="008E3F90" w:rsidRPr="00C17DF7" w:rsidRDefault="008E3F90">
      <w:pPr>
        <w:rPr>
          <w:b/>
        </w:rPr>
      </w:pPr>
      <w:r w:rsidRPr="00C17DF7">
        <w:rPr>
          <w:b/>
        </w:rPr>
        <w:t>zaměření a průzkumy</w:t>
      </w:r>
    </w:p>
    <w:p w14:paraId="35816D80" w14:textId="01AF460D" w:rsidR="00E5161A" w:rsidRDefault="00E5161A" w:rsidP="008720D6">
      <w:pPr>
        <w:jc w:val="both"/>
      </w:pPr>
      <w:r>
        <w:t xml:space="preserve">Byl proveden stavebně technický průzkum stávajícího stavu. Konstrukce stávajícího objektu nevykazují závažné poruchy, celkový stav objektu je však již na hranici životnosti, zejm. pak jeho vnitřní vybavení a instalace. Stav sousedních objektů umožňuje při dodržení stanovených preventivních opatřeních realizaci </w:t>
      </w:r>
      <w:r w:rsidR="00627F22">
        <w:t>navrženého záměru.</w:t>
      </w:r>
    </w:p>
    <w:p w14:paraId="06433A5D" w14:textId="753E085E" w:rsidR="008E3F90" w:rsidRDefault="00364115" w:rsidP="008720D6">
      <w:pPr>
        <w:jc w:val="both"/>
      </w:pPr>
      <w:r>
        <w:t>V rámci studie bylo pro řešené území vypracováno inženýrsko-geologické a hydrologické posouzení lokality. Celé posouzení je samostatnou přílohou studie.</w:t>
      </w:r>
    </w:p>
    <w:p w14:paraId="39124E36" w14:textId="0B9E07C7" w:rsidR="008720D6" w:rsidRPr="009B5EE7" w:rsidRDefault="00677184" w:rsidP="009B5EE7">
      <w:pPr>
        <w:jc w:val="both"/>
      </w:pPr>
      <w:r w:rsidRPr="009B5EE7">
        <w:t xml:space="preserve">Základové poměry jsou označeny jako složité - povrch je rovinný, ale mocnost a charakter svrchního horizontu navážek a kvartérních sedimentů charakteru jílovitých a prachovitých hlín, jílů a hlinitopísčitých a </w:t>
      </w:r>
      <w:proofErr w:type="spellStart"/>
      <w:r w:rsidRPr="009B5EE7">
        <w:t>štěrkopísčitých</w:t>
      </w:r>
      <w:proofErr w:type="spellEnd"/>
      <w:r w:rsidRPr="009B5EE7">
        <w:t xml:space="preserve"> sedimentů se rozsahu staveniště mění.</w:t>
      </w:r>
    </w:p>
    <w:p w14:paraId="0E4F5206" w14:textId="77777777" w:rsidR="008720D6" w:rsidRPr="009B5EE7" w:rsidRDefault="00677184" w:rsidP="009B5EE7">
      <w:pPr>
        <w:tabs>
          <w:tab w:val="left" w:pos="284"/>
        </w:tabs>
        <w:spacing w:after="0"/>
        <w:ind w:left="284" w:hanging="284"/>
        <w:jc w:val="both"/>
      </w:pPr>
      <w:r w:rsidRPr="009B5EE7">
        <w:t>Na lokalitě se vyskytují typo</w:t>
      </w:r>
      <w:r w:rsidR="008720D6" w:rsidRPr="009B5EE7">
        <w:t>logicky následující typy zemin:</w:t>
      </w:r>
    </w:p>
    <w:p w14:paraId="140A72F2" w14:textId="77777777" w:rsidR="00677184" w:rsidRPr="009B5EE7" w:rsidRDefault="008720D6" w:rsidP="009B5EE7">
      <w:pPr>
        <w:tabs>
          <w:tab w:val="left" w:pos="284"/>
        </w:tabs>
        <w:spacing w:after="0"/>
        <w:ind w:left="284" w:hanging="284"/>
        <w:jc w:val="both"/>
      </w:pPr>
      <w:r w:rsidRPr="009B5EE7">
        <w:t>-</w:t>
      </w:r>
      <w:r w:rsidRPr="009B5EE7">
        <w:tab/>
      </w:r>
      <w:r w:rsidR="00677184" w:rsidRPr="009B5EE7">
        <w:t>navážky</w:t>
      </w:r>
      <w:r w:rsidR="009172A8" w:rsidRPr="009B5EE7">
        <w:t xml:space="preserve"> </w:t>
      </w:r>
      <w:r w:rsidR="00677184" w:rsidRPr="009B5EE7">
        <w:t>–</w:t>
      </w:r>
      <w:r w:rsidR="009172A8" w:rsidRPr="009B5EE7">
        <w:t xml:space="preserve"> </w:t>
      </w:r>
      <w:r w:rsidR="00677184" w:rsidRPr="009B5EE7">
        <w:t>svrchní část je tvořena různorodými navážkami</w:t>
      </w:r>
      <w:r w:rsidRPr="009B5EE7">
        <w:t>,</w:t>
      </w:r>
      <w:r w:rsidR="00677184" w:rsidRPr="009B5EE7">
        <w:t xml:space="preserve"> středně až málo </w:t>
      </w:r>
      <w:proofErr w:type="spellStart"/>
      <w:r w:rsidR="00677184" w:rsidRPr="009B5EE7">
        <w:t>ulehl</w:t>
      </w:r>
      <w:r w:rsidRPr="009B5EE7">
        <w:t>é</w:t>
      </w:r>
      <w:proofErr w:type="spellEnd"/>
      <w:r w:rsidRPr="009B5EE7">
        <w:t xml:space="preserve">; </w:t>
      </w:r>
      <w:r w:rsidR="00677184" w:rsidRPr="009B5EE7">
        <w:t>mocnost antropogenních sedimentů je v rozmezí cca 2-4 m</w:t>
      </w:r>
    </w:p>
    <w:p w14:paraId="6FE85B51" w14:textId="77777777" w:rsidR="00677184" w:rsidRPr="009B5EE7" w:rsidRDefault="008720D6" w:rsidP="009B5EE7">
      <w:pPr>
        <w:tabs>
          <w:tab w:val="left" w:pos="284"/>
        </w:tabs>
        <w:spacing w:after="0"/>
        <w:ind w:left="284" w:hanging="284"/>
        <w:jc w:val="both"/>
      </w:pPr>
      <w:r w:rsidRPr="009B5EE7">
        <w:t>-</w:t>
      </w:r>
      <w:r w:rsidRPr="009B5EE7">
        <w:tab/>
      </w:r>
      <w:r w:rsidR="009172A8" w:rsidRPr="009B5EE7">
        <w:t xml:space="preserve">soudržné </w:t>
      </w:r>
      <w:proofErr w:type="spellStart"/>
      <w:r w:rsidR="009172A8" w:rsidRPr="009B5EE7">
        <w:t>jílovito</w:t>
      </w:r>
      <w:proofErr w:type="spellEnd"/>
      <w:r w:rsidR="009172A8" w:rsidRPr="009B5EE7">
        <w:t xml:space="preserve"> a </w:t>
      </w:r>
      <w:proofErr w:type="spellStart"/>
      <w:r w:rsidR="009172A8" w:rsidRPr="009B5EE7">
        <w:t>jílovito</w:t>
      </w:r>
      <w:r w:rsidR="00677184" w:rsidRPr="009B5EE7">
        <w:t>písčité</w:t>
      </w:r>
      <w:proofErr w:type="spellEnd"/>
      <w:r w:rsidR="00677184" w:rsidRPr="009B5EE7">
        <w:t xml:space="preserve"> zeminy</w:t>
      </w:r>
      <w:r w:rsidRPr="009B5EE7">
        <w:t>;</w:t>
      </w:r>
      <w:r w:rsidR="00677184" w:rsidRPr="009B5EE7">
        <w:t xml:space="preserve"> mocnost je v rozmezí cca 4-6 m</w:t>
      </w:r>
    </w:p>
    <w:p w14:paraId="4004357A" w14:textId="77777777" w:rsidR="00677184" w:rsidRPr="009B5EE7" w:rsidRDefault="00677184" w:rsidP="009B5EE7">
      <w:pPr>
        <w:tabs>
          <w:tab w:val="left" w:pos="284"/>
        </w:tabs>
        <w:spacing w:after="0"/>
        <w:ind w:left="284" w:hanging="284"/>
        <w:jc w:val="both"/>
      </w:pPr>
      <w:r w:rsidRPr="009B5EE7">
        <w:lastRenderedPageBreak/>
        <w:t xml:space="preserve">- </w:t>
      </w:r>
      <w:r w:rsidR="008720D6" w:rsidRPr="009B5EE7">
        <w:tab/>
      </w:r>
      <w:r w:rsidRPr="009B5EE7">
        <w:t xml:space="preserve">nesoudržné písčité a </w:t>
      </w:r>
      <w:proofErr w:type="spellStart"/>
      <w:r w:rsidRPr="009B5EE7">
        <w:t>štěrkopísčité</w:t>
      </w:r>
      <w:proofErr w:type="spellEnd"/>
      <w:r w:rsidRPr="009B5EE7">
        <w:t xml:space="preserve"> zeminy fluviálního původu, v</w:t>
      </w:r>
      <w:r w:rsidR="008720D6" w:rsidRPr="009B5EE7">
        <w:t> </w:t>
      </w:r>
      <w:r w:rsidRPr="009B5EE7">
        <w:t>proměnlivém</w:t>
      </w:r>
      <w:r w:rsidR="008720D6" w:rsidRPr="009B5EE7">
        <w:t xml:space="preserve"> </w:t>
      </w:r>
      <w:r w:rsidRPr="009B5EE7">
        <w:t xml:space="preserve">stupni zahlinění </w:t>
      </w:r>
      <w:r w:rsidR="008720D6" w:rsidRPr="009B5EE7">
        <w:t>zvodnělé, nestabilní;</w:t>
      </w:r>
      <w:r w:rsidRPr="009B5EE7">
        <w:t xml:space="preserve"> mocnost cca 0,5-1,0 metry</w:t>
      </w:r>
    </w:p>
    <w:p w14:paraId="7C845751" w14:textId="77777777" w:rsidR="00364115" w:rsidRPr="009B5EE7" w:rsidRDefault="008720D6" w:rsidP="009B5EE7">
      <w:pPr>
        <w:tabs>
          <w:tab w:val="left" w:pos="284"/>
        </w:tabs>
        <w:spacing w:after="0"/>
        <w:ind w:left="284" w:hanging="284"/>
        <w:jc w:val="both"/>
      </w:pPr>
      <w:r w:rsidRPr="009B5EE7">
        <w:t>-</w:t>
      </w:r>
      <w:r w:rsidRPr="009B5EE7">
        <w:tab/>
      </w:r>
      <w:r w:rsidR="00677184" w:rsidRPr="009B5EE7">
        <w:t>předkvartérní podloží – vysoce plastické jíly pevné s písčitými polohami</w:t>
      </w:r>
      <w:r w:rsidRPr="009B5EE7">
        <w:t>;</w:t>
      </w:r>
      <w:r w:rsidR="00677184" w:rsidRPr="009B5EE7">
        <w:t xml:space="preserve"> od</w:t>
      </w:r>
      <w:r w:rsidRPr="009B5EE7">
        <w:t xml:space="preserve"> </w:t>
      </w:r>
      <w:r w:rsidR="00677184" w:rsidRPr="009B5EE7">
        <w:t>hloubkové úrovně cca</w:t>
      </w:r>
      <w:r w:rsidR="00531656" w:rsidRPr="009B5EE7">
        <w:t xml:space="preserve"> 8-10 m p.t.</w:t>
      </w:r>
    </w:p>
    <w:p w14:paraId="7C16C1FF" w14:textId="77777777" w:rsidR="003B6F4C" w:rsidRDefault="003B6F4C" w:rsidP="008720D6">
      <w:pPr>
        <w:autoSpaceDE w:val="0"/>
        <w:autoSpaceDN w:val="0"/>
        <w:adjustRightInd w:val="0"/>
        <w:spacing w:after="0" w:line="240" w:lineRule="auto"/>
        <w:ind w:left="284" w:right="1559" w:hanging="284"/>
        <w:rPr>
          <w:rFonts w:cstheme="minorHAnsi"/>
        </w:rPr>
      </w:pPr>
    </w:p>
    <w:p w14:paraId="101D5258" w14:textId="77777777" w:rsidR="003B6F4C" w:rsidRPr="00677184" w:rsidRDefault="003B6F4C" w:rsidP="008720D6">
      <w:pPr>
        <w:autoSpaceDE w:val="0"/>
        <w:autoSpaceDN w:val="0"/>
        <w:adjustRightInd w:val="0"/>
        <w:spacing w:after="0" w:line="240" w:lineRule="auto"/>
        <w:ind w:left="284" w:right="1559" w:hanging="284"/>
        <w:rPr>
          <w:rFonts w:cstheme="minorHAnsi"/>
        </w:rPr>
      </w:pPr>
    </w:p>
    <w:p w14:paraId="4FECB370" w14:textId="77777777" w:rsidR="008E3F90" w:rsidRPr="00C17DF7" w:rsidRDefault="008E3F90">
      <w:pPr>
        <w:rPr>
          <w:b/>
        </w:rPr>
      </w:pPr>
      <w:r w:rsidRPr="00C17DF7">
        <w:rPr>
          <w:b/>
        </w:rPr>
        <w:t>soulad s územním plánem</w:t>
      </w:r>
    </w:p>
    <w:p w14:paraId="46ACB5BD" w14:textId="77777777" w:rsidR="008E3F90" w:rsidRDefault="00C17DF7" w:rsidP="000936F2">
      <w:pPr>
        <w:jc w:val="both"/>
      </w:pPr>
      <w:r>
        <w:t xml:space="preserve">Pro dané území je vydán platný </w:t>
      </w:r>
      <w:r w:rsidR="000936F2">
        <w:t>Ú</w:t>
      </w:r>
      <w:r>
        <w:t xml:space="preserve">zemní plán </w:t>
      </w:r>
      <w:r w:rsidR="000936F2">
        <w:t>města Brna (</w:t>
      </w:r>
      <w:proofErr w:type="spellStart"/>
      <w:r w:rsidR="000936F2">
        <w:t>vyhl</w:t>
      </w:r>
      <w:proofErr w:type="spellEnd"/>
      <w:r w:rsidR="000936F2">
        <w:t>. statutárního města Brna č. 2/2004 o závazných částech Územního plánu mě sta Brna ve znění pozdějších předpisů) a dále Regulační plán bloku Příkop - Bratislavská - Koliště - Milady Horákové (</w:t>
      </w:r>
      <w:proofErr w:type="spellStart"/>
      <w:r w:rsidR="000936F2">
        <w:t>vyhl</w:t>
      </w:r>
      <w:proofErr w:type="spellEnd"/>
      <w:r w:rsidR="000936F2">
        <w:t>. statutárního města Brna č. 16/2001 o závazných částech Regulačního plánu bloku Příkop - Bratislavská - Koliště - Milady Horákové ve znění opatření obecné povahy č. 12/2020).</w:t>
      </w:r>
    </w:p>
    <w:p w14:paraId="6AC4FCA2" w14:textId="77777777" w:rsidR="000936F2" w:rsidRDefault="008C3680">
      <w:r>
        <w:t xml:space="preserve">Řešené území je RP </w:t>
      </w:r>
      <w:r w:rsidR="00E840BB">
        <w:t xml:space="preserve">řešeno jako lokalita „F“. </w:t>
      </w:r>
      <w:r>
        <w:t xml:space="preserve"> </w:t>
      </w:r>
      <w:r w:rsidR="00D236D6">
        <w:t>RP pro ni stanovuje tyto regulativy:</w:t>
      </w:r>
    </w:p>
    <w:p w14:paraId="221CBF0D" w14:textId="77777777" w:rsidR="00D236D6" w:rsidRDefault="00D236D6" w:rsidP="00120A92">
      <w:pPr>
        <w:tabs>
          <w:tab w:val="left" w:pos="284"/>
        </w:tabs>
        <w:spacing w:after="0"/>
        <w:ind w:left="284" w:hanging="284"/>
        <w:jc w:val="both"/>
      </w:pPr>
      <w:r>
        <w:t>-</w:t>
      </w:r>
      <w:r w:rsidR="004F574C">
        <w:tab/>
        <w:t xml:space="preserve">Stavební čára stanovuje závaznou hranici pro zastavění pozemku a určuje polohu výstavby hlavního objemu objektu. Před stavební čáru smí vystupovat balkony, arkýře, markýzy, římsy, nebo jiné konstrukce přiměřené rozsahem, tvarem a funkcí, které jsou součástí </w:t>
      </w:r>
      <w:r w:rsidR="00804FF5">
        <w:t>hlavního objemu objektu.</w:t>
      </w:r>
    </w:p>
    <w:p w14:paraId="43DA144A" w14:textId="77777777" w:rsidR="00804FF5" w:rsidRDefault="00804FF5" w:rsidP="00120A92">
      <w:pPr>
        <w:tabs>
          <w:tab w:val="left" w:pos="284"/>
        </w:tabs>
        <w:spacing w:after="0"/>
        <w:ind w:left="284" w:hanging="284"/>
        <w:jc w:val="both"/>
      </w:pPr>
      <w:r>
        <w:t>-</w:t>
      </w:r>
      <w:r>
        <w:tab/>
        <w:t>Stavební hranice</w:t>
      </w:r>
      <w:r w:rsidR="00A32FA5">
        <w:t xml:space="preserve"> stanovuje maximální hranici pro zastavitelnost pozemku. Hlavní objem objektu nesmí tuto hranici překročit. Pozemky vymezené stavebními hranicemi stanovují zastavitelnou část.</w:t>
      </w:r>
    </w:p>
    <w:p w14:paraId="20492810" w14:textId="77777777" w:rsidR="00A32FA5" w:rsidRDefault="00112737" w:rsidP="00120A92">
      <w:pPr>
        <w:tabs>
          <w:tab w:val="left" w:pos="284"/>
        </w:tabs>
        <w:spacing w:after="0"/>
        <w:ind w:left="284" w:hanging="284"/>
        <w:jc w:val="both"/>
      </w:pPr>
      <w:r>
        <w:t>-</w:t>
      </w:r>
      <w:r>
        <w:tab/>
      </w:r>
      <w:r w:rsidR="00A32FA5">
        <w:t xml:space="preserve">Funkční typ SJ – Funkce jádrové tj. </w:t>
      </w:r>
      <w:r>
        <w:t xml:space="preserve">smíšené plochy centrálního charakteru. Slouží převážně k umístění </w:t>
      </w:r>
      <w:r w:rsidR="00AE4877">
        <w:t>obchodních provozoven, zařízení správy, hospodářství a kultury. Přípustné využití: obchodní, kancelářské a správní budovy; maloobchodní provozovny do velikosti 1500 m2 prodejní plochy za předpokladu situování ve vícepodlažním objektu charakteru odpovídajícím dané historické struktuře okolní zástavby a zajištění parkování v objektu; provozovny stravování a ubytovací zařízení; zábavní zařízení; podstatně nerušící výrobní provozovny (</w:t>
      </w:r>
      <w:r w:rsidR="00426A1A">
        <w:t>řemeslného charakteru); zařízení pro církevní, kulturní, sociální, zdravotnické, školské a sportovní účely, vč. středisek mládeže pro mimoškolní činnost a center pohybových aktivit; byty pro osoby zajišťující dohled a pohotovost, či pro majitele a vedoucí provozoven; bytové domy; občanské vybavení komerční s prodejní plochou do 5000 m2 s uspořádáním obchodní galerie; související dopravní a technická infrastruktura, objekty hromadného parkování</w:t>
      </w:r>
      <w:r w:rsidR="00120A92">
        <w:t>.</w:t>
      </w:r>
    </w:p>
    <w:p w14:paraId="3192A4BC" w14:textId="77777777" w:rsidR="00426A1A" w:rsidRDefault="00426A1A" w:rsidP="00120A92">
      <w:pPr>
        <w:tabs>
          <w:tab w:val="left" w:pos="284"/>
        </w:tabs>
        <w:spacing w:after="0"/>
        <w:ind w:left="284" w:hanging="284"/>
        <w:jc w:val="both"/>
      </w:pPr>
      <w:r>
        <w:t>-</w:t>
      </w:r>
      <w:r>
        <w:tab/>
        <w:t xml:space="preserve">SJ/1 – </w:t>
      </w:r>
      <w:r w:rsidR="00201399">
        <w:t>P</w:t>
      </w:r>
      <w:r>
        <w:t>roluka v uliční zástavbě je plochou návrhovou výše uvedeného typu</w:t>
      </w:r>
      <w:r w:rsidR="00120A92">
        <w:t xml:space="preserve"> SJ s indexem zastavění pozemku 1 (tj. maximální přípustný poměr mezi součtem výměr zastavěných ploch nadzemních částí staveb všech stavebních objektů na pozemku k výměře tohoto pozemku)</w:t>
      </w:r>
      <w:r w:rsidR="00201399">
        <w:t>.</w:t>
      </w:r>
    </w:p>
    <w:p w14:paraId="61C69F9B" w14:textId="77777777" w:rsidR="00426A1A" w:rsidRDefault="0071671F" w:rsidP="00120A92">
      <w:pPr>
        <w:tabs>
          <w:tab w:val="left" w:pos="284"/>
        </w:tabs>
        <w:spacing w:after="0"/>
        <w:ind w:left="284" w:hanging="284"/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276E8F" wp14:editId="70C93FF5">
                <wp:simplePos x="0" y="0"/>
                <wp:positionH relativeFrom="column">
                  <wp:posOffset>134428</wp:posOffset>
                </wp:positionH>
                <wp:positionV relativeFrom="paragraph">
                  <wp:posOffset>193040</wp:posOffset>
                </wp:positionV>
                <wp:extent cx="160317" cy="160317"/>
                <wp:effectExtent l="0" t="0" r="11430" b="11430"/>
                <wp:wrapNone/>
                <wp:docPr id="2" name="Ová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317" cy="160317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92AA04B" id="Ovál 2" o:spid="_x0000_s1026" style="position:absolute;margin-left:10.6pt;margin-top:15.2pt;width:12.6pt;height:12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" filled="f" strokecolor="black [3213]" strokeweight="1pt"/>
            </w:pict>
          </mc:Fallback>
        </mc:AlternateContent>
      </w:r>
      <w:r w:rsidR="00426A1A">
        <w:t>-</w:t>
      </w:r>
      <w:r w:rsidR="00426A1A">
        <w:tab/>
        <w:t>PG 10/1 PP</w:t>
      </w:r>
      <w:r w:rsidR="00120A92">
        <w:t xml:space="preserve"> – Minimální počet 10 garážových stání v 1 podzemním podlaží</w:t>
      </w:r>
      <w:r w:rsidR="00201399">
        <w:t>.</w:t>
      </w:r>
    </w:p>
    <w:p w14:paraId="1BE5D8F3" w14:textId="77777777" w:rsidR="00120A92" w:rsidRDefault="00120A92" w:rsidP="00120A92">
      <w:pPr>
        <w:tabs>
          <w:tab w:val="left" w:pos="284"/>
        </w:tabs>
        <w:spacing w:after="0"/>
        <w:ind w:left="284" w:hanging="284"/>
        <w:jc w:val="both"/>
      </w:pPr>
      <w:r>
        <w:t>-</w:t>
      </w:r>
      <w:r>
        <w:tab/>
        <w:t xml:space="preserve">V </w:t>
      </w:r>
      <w:r>
        <w:tab/>
        <w:t xml:space="preserve">- </w:t>
      </w:r>
      <w:r w:rsidR="00201399">
        <w:t>S</w:t>
      </w:r>
      <w:r>
        <w:t xml:space="preserve">tanovený počet 5 </w:t>
      </w:r>
      <w:r w:rsidR="00201399">
        <w:t xml:space="preserve">plných </w:t>
      </w:r>
      <w:r>
        <w:t xml:space="preserve">nadzemních podlaží </w:t>
      </w:r>
      <w:r w:rsidR="00201399">
        <w:t>udávající požadovanou výšku zástavby.</w:t>
      </w:r>
    </w:p>
    <w:p w14:paraId="5BC09B5F" w14:textId="77777777" w:rsidR="00504183" w:rsidRDefault="00504183" w:rsidP="00120A92">
      <w:pPr>
        <w:tabs>
          <w:tab w:val="left" w:pos="284"/>
        </w:tabs>
        <w:spacing w:after="0"/>
        <w:ind w:left="284" w:hanging="284"/>
        <w:jc w:val="both"/>
      </w:pPr>
    </w:p>
    <w:p w14:paraId="07157517" w14:textId="77777777" w:rsidR="00426A1A" w:rsidRDefault="00201399" w:rsidP="00E06F9A">
      <w:pPr>
        <w:tabs>
          <w:tab w:val="left" w:pos="284"/>
        </w:tabs>
        <w:ind w:left="284" w:hanging="284"/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73A79C4D" wp14:editId="00243162">
            <wp:extent cx="5257800" cy="227420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P výřez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5322" cy="2277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9A435" w14:textId="77777777" w:rsidR="00271A17" w:rsidRDefault="00271A17" w:rsidP="004845E6">
      <w:pPr>
        <w:jc w:val="both"/>
      </w:pPr>
      <w:r w:rsidRPr="00271A17">
        <w:t>Navržený objekt odpovídá stanovenému přípustnému funkčnímu využití. Uliční část objektu v proluce třídy Milady Horákové drží stanovené linie stavební čáry a stavební hranice. Taktéž dodržuje stanovený počet pěti plných nadzemních podlaží.</w:t>
      </w:r>
      <w:r w:rsidR="0028200A">
        <w:t xml:space="preserve"> </w:t>
      </w:r>
      <w:r w:rsidR="00703CF5">
        <w:t>Stanovený maximální i</w:t>
      </w:r>
      <w:r w:rsidR="0028200A">
        <w:t xml:space="preserve">ndex zastavění pozemku </w:t>
      </w:r>
      <w:r w:rsidR="00703CF5">
        <w:t xml:space="preserve">je </w:t>
      </w:r>
      <w:r w:rsidR="0028200A">
        <w:t xml:space="preserve">1, </w:t>
      </w:r>
      <w:r w:rsidR="0028200A" w:rsidRPr="004845E6">
        <w:t xml:space="preserve">IZP návrhu je </w:t>
      </w:r>
      <w:r w:rsidR="00703CF5" w:rsidRPr="004845E6">
        <w:t xml:space="preserve">0,89. </w:t>
      </w:r>
      <w:r w:rsidR="004845E6" w:rsidRPr="004845E6">
        <w:t>V prvním podzemním podlaží je navrženo 28 parkovacích stání.</w:t>
      </w:r>
      <w:r w:rsidR="004845E6">
        <w:t xml:space="preserve"> </w:t>
      </w:r>
    </w:p>
    <w:p w14:paraId="075D6F95" w14:textId="77777777" w:rsidR="00E06F9A" w:rsidRPr="004845E6" w:rsidRDefault="00D31CC1" w:rsidP="004845E6">
      <w:pPr>
        <w:jc w:val="both"/>
      </w:pPr>
      <w:r>
        <w:t xml:space="preserve">Dvorní část objektu je dle požadavku budoucího uživatele objektu oproti stávajícímu stavu </w:t>
      </w:r>
      <w:r w:rsidR="002F1EBA">
        <w:t xml:space="preserve">v západní části půdorysu </w:t>
      </w:r>
      <w:r w:rsidR="001B4385">
        <w:t xml:space="preserve">nepatrně </w:t>
      </w:r>
      <w:r>
        <w:t>rozšířena, výš</w:t>
      </w:r>
      <w:r w:rsidR="002F1EBA">
        <w:t xml:space="preserve">ková úroveň se nemění. Výklad regulací pro tuto dvorní část není jednoznačný, textová a grafická část RP v tomto případě nejsou v jasné shodě. </w:t>
      </w:r>
      <w:r w:rsidR="001B4385">
        <w:t xml:space="preserve">Navržené rozšíření o cca 3,2 m v poměru k celkovým rozměrům objektu a kontextu okolí nemá na poměry v území, jeho charakter a funkčnost reálný vliv. </w:t>
      </w:r>
      <w:r w:rsidR="001E41EE">
        <w:t xml:space="preserve">Návrh byl konzultován s Odborem územního plánování a rozvoje MMB, kterým byl předběžně shledán jako přípustný. </w:t>
      </w:r>
    </w:p>
    <w:p w14:paraId="268E50F1" w14:textId="77777777" w:rsidR="000B47E0" w:rsidRDefault="000B47E0">
      <w:pPr>
        <w:rPr>
          <w:b/>
        </w:rPr>
      </w:pPr>
    </w:p>
    <w:p w14:paraId="3CC3EEAA" w14:textId="77777777" w:rsidR="00C65B78" w:rsidRPr="00C17DF7" w:rsidRDefault="00C65B78">
      <w:pPr>
        <w:rPr>
          <w:b/>
        </w:rPr>
      </w:pPr>
      <w:r w:rsidRPr="00C17DF7">
        <w:rPr>
          <w:b/>
        </w:rPr>
        <w:t>základní koncepce dispozičního</w:t>
      </w:r>
      <w:r w:rsidR="00C17DF7" w:rsidRPr="00C17DF7">
        <w:rPr>
          <w:b/>
        </w:rPr>
        <w:t xml:space="preserve"> a provozního řešení</w:t>
      </w:r>
    </w:p>
    <w:p w14:paraId="43A7C3AD" w14:textId="77777777" w:rsidR="00C65B78" w:rsidRDefault="00CB7F56">
      <w:r>
        <w:t>Na základě vyhodnocení potřeb MPB, budoucího uživatele objektu, byly navrženy tyto funkční celky:</w:t>
      </w:r>
    </w:p>
    <w:p w14:paraId="160AAE79" w14:textId="77777777" w:rsidR="00CB7F56" w:rsidRDefault="00CB7389" w:rsidP="00CB7389">
      <w:pPr>
        <w:ind w:left="1560" w:hanging="1560"/>
        <w:jc w:val="both"/>
      </w:pPr>
      <w:r>
        <w:t xml:space="preserve">škola - </w:t>
      </w:r>
      <w:r>
        <w:tab/>
      </w:r>
      <w:r w:rsidR="00376DB2">
        <w:t xml:space="preserve">Pro teoretickou výuku strážníků MP jsou navrženy 2x 2 učebny, každá s kapacitou 20 osob. Dvojice učeben je možné vzájemně propojit. </w:t>
      </w:r>
      <w:r w:rsidR="00B86D5D">
        <w:t>Ke každé dvojici učeben náleží rozptylový prostor a</w:t>
      </w:r>
      <w:r w:rsidR="00C016CA">
        <w:t xml:space="preserve"> odpovídající hygienické zázemí</w:t>
      </w:r>
      <w:r w:rsidR="00B86D5D">
        <w:t>.</w:t>
      </w:r>
      <w:r w:rsidR="00C016CA">
        <w:t xml:space="preserve"> Posluchači mají k dispozici skříňkovou šatnu pro odkládání svrchních oděvů.</w:t>
      </w:r>
    </w:p>
    <w:p w14:paraId="32D41DA4" w14:textId="77777777" w:rsidR="001C0FAF" w:rsidRDefault="001C0FAF" w:rsidP="00CB7389">
      <w:pPr>
        <w:ind w:left="1560" w:hanging="1560"/>
        <w:jc w:val="both"/>
      </w:pPr>
      <w:r>
        <w:tab/>
        <w:t>V rozptylovém prostoru před učebnami se počítá s instalací trezorů pro předepsané odkládání zbraní.</w:t>
      </w:r>
    </w:p>
    <w:p w14:paraId="0E81F393" w14:textId="77777777" w:rsidR="005C3BBD" w:rsidRDefault="005C3BBD" w:rsidP="00CB7389">
      <w:pPr>
        <w:ind w:left="1560" w:hanging="1560"/>
        <w:jc w:val="both"/>
      </w:pPr>
      <w:r>
        <w:t>výcvik -</w:t>
      </w:r>
      <w:r w:rsidR="00CB7389">
        <w:tab/>
      </w:r>
      <w:r w:rsidR="001540B7">
        <w:t xml:space="preserve">Pro praktickou výuku, výcvik a fyzickou přípravu je navržena hlavní tělocvična, speciální </w:t>
      </w:r>
      <w:proofErr w:type="spellStart"/>
      <w:r w:rsidR="00531656">
        <w:t>úpolová</w:t>
      </w:r>
      <w:proofErr w:type="spellEnd"/>
      <w:r w:rsidR="00531656">
        <w:t xml:space="preserve"> tělocvična a posilovna, včetně šaten, umýváren a záchodů. </w:t>
      </w:r>
      <w:r w:rsidR="00904362">
        <w:t xml:space="preserve">Tělocvičny a posilovna jsou navrženy tak, aby je bylo možno užívat odděleně a nezávisle. K tomuto celku je dále připojena pětice </w:t>
      </w:r>
      <w:r w:rsidR="00871D85">
        <w:t>kanceláři pro instruktory výcvi</w:t>
      </w:r>
      <w:r w:rsidR="00904362">
        <w:t>ku.</w:t>
      </w:r>
    </w:p>
    <w:p w14:paraId="2A69FD75" w14:textId="41F1B58E" w:rsidR="006773C8" w:rsidRDefault="005C3BBD" w:rsidP="00CB7389">
      <w:pPr>
        <w:ind w:left="1560" w:hanging="1560"/>
        <w:jc w:val="both"/>
        <w:rPr>
          <w:rFonts w:ascii="Calibri" w:hAnsi="Calibri" w:cs="Calibri"/>
          <w:color w:val="2C363A"/>
          <w:shd w:val="clear" w:color="auto" w:fill="FFFFFF"/>
        </w:rPr>
      </w:pPr>
      <w:r>
        <w:t>střelnice -</w:t>
      </w:r>
      <w:r>
        <w:tab/>
      </w:r>
      <w:r w:rsidR="001540B7">
        <w:t>Praktický střelecký výcvik je zejména s ohledem na bezpečnost vyčleněn do samostatného celku.</w:t>
      </w:r>
      <w:r w:rsidR="00F304B2">
        <w:t xml:space="preserve"> Krytá tunelová střelnice j</w:t>
      </w:r>
      <w:r w:rsidR="00D46181">
        <w:t>e navržena jako neveřejná výcvi</w:t>
      </w:r>
      <w:r w:rsidR="00F304B2">
        <w:t>ková</w:t>
      </w:r>
      <w:r w:rsidR="00D46181">
        <w:t xml:space="preserve">, umožňující střelbu z </w:t>
      </w:r>
      <w:r w:rsidR="00D46181">
        <w:rPr>
          <w:rFonts w:ascii="Calibri" w:hAnsi="Calibri" w:cs="Calibri"/>
          <w:color w:val="2C363A"/>
          <w:shd w:val="clear" w:color="auto" w:fill="FFFFFF"/>
        </w:rPr>
        <w:t>krátkých i dlouhých palných zbraní</w:t>
      </w:r>
      <w:r w:rsidR="00577C55">
        <w:rPr>
          <w:rFonts w:ascii="Calibri" w:hAnsi="Calibri" w:cs="Calibri"/>
          <w:color w:val="2C363A"/>
          <w:shd w:val="clear" w:color="auto" w:fill="FFFFFF"/>
        </w:rPr>
        <w:t>,</w:t>
      </w:r>
      <w:r w:rsidR="00D46181">
        <w:rPr>
          <w:rFonts w:ascii="Calibri" w:hAnsi="Calibri" w:cs="Calibri"/>
          <w:color w:val="2C363A"/>
          <w:shd w:val="clear" w:color="auto" w:fill="FFFFFF"/>
        </w:rPr>
        <w:t xml:space="preserve"> </w:t>
      </w:r>
      <w:r w:rsidR="00577C55">
        <w:t xml:space="preserve">s energií střely do E0 max. 2000J, </w:t>
      </w:r>
      <w:r w:rsidR="00D46181">
        <w:rPr>
          <w:rFonts w:ascii="Calibri" w:hAnsi="Calibri" w:cs="Calibri"/>
          <w:color w:val="2C363A"/>
          <w:shd w:val="clear" w:color="auto" w:fill="FFFFFF"/>
        </w:rPr>
        <w:t>kategorie A-I, B a C na vzdálenost až 25 metrů.</w:t>
      </w:r>
      <w:r w:rsidR="00D46181">
        <w:t xml:space="preserve"> </w:t>
      </w:r>
      <w:r w:rsidR="00421C08">
        <w:t xml:space="preserve">V případě krátkých zbraní </w:t>
      </w:r>
      <w:r w:rsidR="00421C08">
        <w:lastRenderedPageBreak/>
        <w:t xml:space="preserve">s energií střely do E0 max. 800J navíc </w:t>
      </w:r>
      <w:r w:rsidR="00D46181">
        <w:t>s</w:t>
      </w:r>
      <w:r w:rsidR="00577C55">
        <w:t xml:space="preserve"> možností střelby do tří směrů z </w:t>
      </w:r>
      <w:r w:rsidR="00D46181">
        <w:t>pohybliv</w:t>
      </w:r>
      <w:r w:rsidR="00577C55">
        <w:t>é</w:t>
      </w:r>
      <w:r w:rsidR="00D46181">
        <w:t xml:space="preserve"> palebn</w:t>
      </w:r>
      <w:r w:rsidR="00577C55">
        <w:t>é</w:t>
      </w:r>
      <w:r w:rsidR="00D46181">
        <w:t xml:space="preserve"> č</w:t>
      </w:r>
      <w:r w:rsidR="00577C55">
        <w:t>á</w:t>
      </w:r>
      <w:r w:rsidR="00D46181">
        <w:t>r</w:t>
      </w:r>
      <w:r w:rsidR="00577C55">
        <w:t xml:space="preserve">y. </w:t>
      </w:r>
      <w:r w:rsidR="00904362">
        <w:t xml:space="preserve">Střelnice bude vybavena vlastním samostatným systémem vzduchotechniky pro odvod </w:t>
      </w:r>
      <w:proofErr w:type="spellStart"/>
      <w:r w:rsidR="00904362">
        <w:t>povýstřelových</w:t>
      </w:r>
      <w:proofErr w:type="spellEnd"/>
      <w:r w:rsidR="00904362">
        <w:t xml:space="preserve"> </w:t>
      </w:r>
      <w:r w:rsidR="00A60449">
        <w:t>zplodin</w:t>
      </w:r>
      <w:r w:rsidR="00904362">
        <w:t xml:space="preserve"> a udržování po</w:t>
      </w:r>
      <w:r w:rsidR="006773C8">
        <w:t xml:space="preserve">žadované teploty. Střelnice musí být vybavena </w:t>
      </w:r>
      <w:r w:rsidR="006773C8">
        <w:rPr>
          <w:rFonts w:ascii="Calibri" w:hAnsi="Calibri" w:cs="Calibri"/>
          <w:color w:val="2C363A"/>
          <w:shd w:val="clear" w:color="auto" w:fill="FFFFFF"/>
        </w:rPr>
        <w:t>všemi bezpečnostními prostředky a výstražnými zařízeními požadovanými zákonem o střelných zbraních a střelivu č. 119/2002 Sb. a dalšími provádějícími předpisy.</w:t>
      </w:r>
    </w:p>
    <w:p w14:paraId="3F2D4E0A" w14:textId="77777777" w:rsidR="00C17DF7" w:rsidRDefault="006773C8" w:rsidP="002B73D5">
      <w:pPr>
        <w:ind w:left="1560"/>
        <w:jc w:val="both"/>
        <w:rPr>
          <w:rFonts w:ascii="Calibri" w:hAnsi="Calibri" w:cs="Calibri"/>
          <w:color w:val="2C363A"/>
          <w:shd w:val="clear" w:color="auto" w:fill="FFFFFF"/>
        </w:rPr>
      </w:pPr>
      <w:r>
        <w:t xml:space="preserve">Tento celek dále obsahuje zbrojní sklad, čištění zbraní, sklad dalšího vybavení střelnice, šatny s umyvárnami a záchody. Zbrojní sklad musí odpovídat požadavkům </w:t>
      </w:r>
      <w:r>
        <w:rPr>
          <w:rFonts w:ascii="Calibri" w:hAnsi="Calibri" w:cs="Calibri"/>
          <w:color w:val="2C363A"/>
          <w:shd w:val="clear" w:color="auto" w:fill="FFFFFF"/>
        </w:rPr>
        <w:t>zákona č. 119/2002 Sb., o zbraních, v platném znění a nařízení vlády č. 217/2017 Sb., o požadavcích na zabezpečení zbraní, střeliva, černého loveckého prachu, bezdýmného prachu a zápalek a o muničním skladišti, umožňující bezpečné přechovávání více než 20 zbraní a 20.000 ks. střeliva kategorie A-I a B.</w:t>
      </w:r>
    </w:p>
    <w:p w14:paraId="4817BBFC" w14:textId="77777777" w:rsidR="006773C8" w:rsidRDefault="006773C8" w:rsidP="002B73D5">
      <w:pPr>
        <w:ind w:left="1560" w:hanging="1560"/>
        <w:jc w:val="both"/>
      </w:pPr>
      <w:r>
        <w:rPr>
          <w:rFonts w:ascii="Calibri" w:hAnsi="Calibri" w:cs="Calibri"/>
          <w:color w:val="2C363A"/>
          <w:shd w:val="clear" w:color="auto" w:fill="FFFFFF"/>
        </w:rPr>
        <w:tab/>
        <w:t xml:space="preserve">Provoz střelnice musí umožňovat zásobování ručním paletovým vozíkem, zejm. pro možnost výměny lamel </w:t>
      </w:r>
      <w:r w:rsidR="00680415">
        <w:rPr>
          <w:rFonts w:ascii="Calibri" w:hAnsi="Calibri" w:cs="Calibri"/>
          <w:color w:val="2C363A"/>
          <w:shd w:val="clear" w:color="auto" w:fill="FFFFFF"/>
        </w:rPr>
        <w:t>záchytného zařízení střelnice.</w:t>
      </w:r>
    </w:p>
    <w:p w14:paraId="51939108" w14:textId="77777777" w:rsidR="00020820" w:rsidRDefault="005C3BBD" w:rsidP="002B73D5">
      <w:pPr>
        <w:ind w:left="1560" w:hanging="1560"/>
        <w:jc w:val="both"/>
      </w:pPr>
      <w:r>
        <w:t>kanceláře -</w:t>
      </w:r>
      <w:r>
        <w:tab/>
      </w:r>
      <w:r w:rsidR="00337C83">
        <w:t>Kanceláře školy, ostrahy objektu a vedení celého střediska</w:t>
      </w:r>
      <w:r w:rsidR="00020820">
        <w:t xml:space="preserve"> jsou seskupeny do společného celku s vlastním hygienickým zázemím. To na přání budoucího uživatele obsahuje i samostatnou sprchu.</w:t>
      </w:r>
    </w:p>
    <w:p w14:paraId="252FBB9F" w14:textId="77777777" w:rsidR="005C3BBD" w:rsidRDefault="00020820" w:rsidP="002B73D5">
      <w:pPr>
        <w:ind w:left="1560"/>
        <w:jc w:val="both"/>
      </w:pPr>
      <w:r>
        <w:t>Výjimkou z tohoto celku jsou kanceláře instruktorů praktického výcviku, které jsou z provozních důvodu začleněny co celku výcviku.</w:t>
      </w:r>
    </w:p>
    <w:p w14:paraId="333D82D4" w14:textId="77777777" w:rsidR="005C3BBD" w:rsidRDefault="005C3BBD" w:rsidP="002B73D5">
      <w:pPr>
        <w:ind w:left="1560" w:hanging="1560"/>
        <w:jc w:val="both"/>
      </w:pPr>
      <w:r>
        <w:t>ubytování -</w:t>
      </w:r>
      <w:r w:rsidR="00CB7389">
        <w:tab/>
      </w:r>
      <w:r w:rsidR="00310390">
        <w:t>Pro mimobrněnské účastníky kurzů nebo instruktory je navržena doplňková</w:t>
      </w:r>
      <w:r w:rsidR="002B73D5">
        <w:t xml:space="preserve"> funkce krátkodobého ubytování ve dvou lůžkových pokojích se společným hygienickým zázemím a kuchyňkou</w:t>
      </w:r>
      <w:r>
        <w:tab/>
      </w:r>
      <w:r w:rsidR="002B73D5">
        <w:t>.</w:t>
      </w:r>
    </w:p>
    <w:p w14:paraId="59D0BE1B" w14:textId="77777777" w:rsidR="005C3BBD" w:rsidRDefault="005C3BBD" w:rsidP="0072660F">
      <w:pPr>
        <w:ind w:left="1560" w:hanging="1560"/>
        <w:jc w:val="both"/>
      </w:pPr>
      <w:r>
        <w:t>výstrojní sklad -</w:t>
      </w:r>
      <w:r>
        <w:tab/>
      </w:r>
      <w:r w:rsidR="00E571A2">
        <w:t xml:space="preserve">Výstrojní sklad funguje nezávisle na </w:t>
      </w:r>
      <w:r w:rsidR="00296A21">
        <w:t>ostatních celcích</w:t>
      </w:r>
      <w:r w:rsidR="00E571A2">
        <w:t xml:space="preserve">. Zásobování skladu je občasné nákladním automobilem hmotnosti 8t, </w:t>
      </w:r>
      <w:r w:rsidR="00296A21">
        <w:t xml:space="preserve">tj. s omezení zajíždění do západní části dvora. Pro zásobování skladu je navržen nákladní výtah na východní fasádě dvorní části objektu. Výstrojní sklad je dělen na tři funkční </w:t>
      </w:r>
      <w:proofErr w:type="spellStart"/>
      <w:r w:rsidR="00296A21">
        <w:t>podcelky</w:t>
      </w:r>
      <w:proofErr w:type="spellEnd"/>
      <w:r w:rsidR="00296A21">
        <w:t xml:space="preserve"> – vlastní sklad, pracoviště obsluhy skladu (včetně kuchyňky a </w:t>
      </w:r>
      <w:proofErr w:type="spellStart"/>
      <w:r w:rsidR="00296A21">
        <w:t>wc</w:t>
      </w:r>
      <w:proofErr w:type="spellEnd"/>
      <w:r w:rsidR="00296A21">
        <w:t>) a místností pro výdej výstroje (včetně možnosti jejího vyzkoušení). Přístup osob do výstrojního skladu je přímý z prostoru podzemního parkování.</w:t>
      </w:r>
    </w:p>
    <w:p w14:paraId="3819E967" w14:textId="77777777" w:rsidR="005C3BBD" w:rsidRDefault="005C3BBD" w:rsidP="00296A21">
      <w:pPr>
        <w:tabs>
          <w:tab w:val="left" w:pos="1560"/>
        </w:tabs>
        <w:ind w:left="1560" w:hanging="1560"/>
        <w:jc w:val="both"/>
      </w:pPr>
      <w:r>
        <w:t>spisovna -</w:t>
      </w:r>
      <w:r>
        <w:tab/>
      </w:r>
      <w:r w:rsidR="00296A21">
        <w:t>Spisovna funguje nezávisle na ostatních celcích, pouze s krátkodobou přítomností osob, nejedná se o archiv. Spisovnu je možné obsloužit nákladním výtahem ze dvora nebo výtahem dvorní části objektu (včetně  prostoru podzemního parkování).</w:t>
      </w:r>
    </w:p>
    <w:p w14:paraId="551BD4DB" w14:textId="77777777" w:rsidR="00C46BAD" w:rsidRDefault="00C46BAD" w:rsidP="00296A21">
      <w:pPr>
        <w:tabs>
          <w:tab w:val="left" w:pos="1560"/>
        </w:tabs>
      </w:pPr>
    </w:p>
    <w:p w14:paraId="27C1B77E" w14:textId="77777777" w:rsidR="00A86804" w:rsidRDefault="00A86804" w:rsidP="00A86804">
      <w:pPr>
        <w:tabs>
          <w:tab w:val="left" w:pos="1560"/>
        </w:tabs>
        <w:jc w:val="both"/>
      </w:pPr>
      <w:r>
        <w:t>Hlavní vstup do objektu je navržen z ulice Milady Horákové skrze recepci s ostrahou. Druhý vchod z prostoru vnitrobloku je uvažován s omezeným vstupem na kartu, stejně jako vjezd do podzemního parkování.</w:t>
      </w:r>
    </w:p>
    <w:p w14:paraId="4DA91FC2" w14:textId="77777777" w:rsidR="00A86804" w:rsidRDefault="00E51365" w:rsidP="00A86804">
      <w:pPr>
        <w:tabs>
          <w:tab w:val="left" w:pos="1560"/>
        </w:tabs>
        <w:jc w:val="both"/>
      </w:pPr>
      <w:r>
        <w:t xml:space="preserve">Navržený objekt se skládá ze dvou hlavních částí - uliční </w:t>
      </w:r>
      <w:r w:rsidR="00E42FC9">
        <w:t>a dvorní, se společným 1.</w:t>
      </w:r>
      <w:proofErr w:type="gramStart"/>
      <w:r w:rsidR="00E42FC9">
        <w:t>np a 1.pp</w:t>
      </w:r>
      <w:proofErr w:type="gramEnd"/>
      <w:r w:rsidR="00E42FC9">
        <w:t xml:space="preserve">, každá však s vlastním jádrem vertikálních komunikací. Funkční celky byly </w:t>
      </w:r>
      <w:r w:rsidR="008F6953">
        <w:t xml:space="preserve">umístěny a uspořádány tak, aby </w:t>
      </w:r>
      <w:r w:rsidR="008F6953">
        <w:lastRenderedPageBreak/>
        <w:t>bylo zajištěno nezávislé fungování u požadovaných celků a současně jejich vzájemná provozní návaznost. V uliční části jsou umístěny celky školy, kanceláří a ubytování, ve dvorní potom výcvik, střelnice, výstrojní sklad a spisovna.</w:t>
      </w:r>
    </w:p>
    <w:p w14:paraId="6C343E26" w14:textId="77777777" w:rsidR="005C3BBD" w:rsidRDefault="005C3BBD"/>
    <w:p w14:paraId="2B412E7E" w14:textId="77777777" w:rsidR="008E3F90" w:rsidRDefault="00C65B78">
      <w:pPr>
        <w:rPr>
          <w:b/>
        </w:rPr>
      </w:pPr>
      <w:r w:rsidRPr="00C17DF7">
        <w:rPr>
          <w:b/>
        </w:rPr>
        <w:t xml:space="preserve">principy konstrukčního </w:t>
      </w:r>
      <w:r w:rsidR="0064216D">
        <w:rPr>
          <w:b/>
        </w:rPr>
        <w:t>a materiálového provedení</w:t>
      </w:r>
    </w:p>
    <w:p w14:paraId="7EA166D2" w14:textId="77777777" w:rsidR="00D220C0" w:rsidRPr="00516A0A" w:rsidRDefault="00516A0A" w:rsidP="001103F1">
      <w:pPr>
        <w:jc w:val="both"/>
      </w:pPr>
      <w:r w:rsidRPr="00516A0A">
        <w:t>Návrh objektu kombinuje skeletový a stěnový nosný systém.</w:t>
      </w:r>
      <w:r>
        <w:t xml:space="preserve"> Prvky skeletu, vodorovné nosné konstrukce a schodiště jsou uvažovaná </w:t>
      </w:r>
      <w:r w:rsidR="00625366">
        <w:t>z monolitického železobetonu. Podzemní podlaží budou řešena jako tzv. bílá vana.</w:t>
      </w:r>
      <w:r w:rsidR="006F23A9">
        <w:t xml:space="preserve"> </w:t>
      </w:r>
      <w:r w:rsidR="00E5287D">
        <w:t xml:space="preserve">Svislé nosné i nenosné </w:t>
      </w:r>
      <w:r w:rsidR="00E45E20">
        <w:t xml:space="preserve">konstrukce budou </w:t>
      </w:r>
      <w:r w:rsidR="00E5287D">
        <w:t xml:space="preserve">zděné </w:t>
      </w:r>
      <w:r w:rsidR="00E45E20">
        <w:t>z</w:t>
      </w:r>
      <w:r w:rsidR="00082C1F">
        <w:t xml:space="preserve"> přesných </w:t>
      </w:r>
      <w:r w:rsidR="00E45E20">
        <w:t>keramických tvárnic</w:t>
      </w:r>
      <w:r w:rsidR="00082C1F">
        <w:t>.</w:t>
      </w:r>
    </w:p>
    <w:p w14:paraId="10F27855" w14:textId="2DBEF523" w:rsidR="00D220C0" w:rsidRPr="007504D4" w:rsidRDefault="007504D4" w:rsidP="001103F1">
      <w:pPr>
        <w:jc w:val="both"/>
      </w:pPr>
      <w:r w:rsidRPr="007504D4">
        <w:t xml:space="preserve">S ohledem na </w:t>
      </w:r>
      <w:r>
        <w:t>vysokou úroveň dopravní zátěž lokality a s ní související znečištění jsou fasády objektu navrženy s</w:t>
      </w:r>
      <w:r w:rsidR="005030B7">
        <w:t xml:space="preserve"> obkladem </w:t>
      </w:r>
      <w:r w:rsidR="000C5F44">
        <w:t xml:space="preserve">cihelnými </w:t>
      </w:r>
      <w:r w:rsidR="005030B7">
        <w:t>fasádními pásky tmavého odstínu.</w:t>
      </w:r>
      <w:r w:rsidR="00E45E20">
        <w:t xml:space="preserve"> </w:t>
      </w:r>
      <w:r w:rsidR="001103F1">
        <w:t>Výplně vnějších otvorů budou s hliníkovými rámy lakovanými do černého odstínu a izolačními trojskly. Klempířské prvky budou z hliníkového plechu lakovaného do černého odstínu.</w:t>
      </w:r>
    </w:p>
    <w:p w14:paraId="40FF1A0A" w14:textId="77777777" w:rsidR="001103F1" w:rsidRPr="00542E42" w:rsidRDefault="00542E42" w:rsidP="007806F7">
      <w:pPr>
        <w:jc w:val="both"/>
      </w:pPr>
      <w:r w:rsidRPr="00542E42">
        <w:t>P</w:t>
      </w:r>
      <w:r>
        <w:t xml:space="preserve">odlaha hlavní tělocvičny bude </w:t>
      </w:r>
      <w:r w:rsidR="007806F7">
        <w:t xml:space="preserve">s ohledem na převažující charakter využití </w:t>
      </w:r>
      <w:r>
        <w:t>s polyuretanovým povrchem</w:t>
      </w:r>
      <w:r w:rsidR="007806F7">
        <w:t>, kompatibilní s podlahovým vytápěním. Zvláštní požadavky na materiálové provedení klade provoz střelnice. Jejich přesná specifikace bude předmětem následujících stupňů dokumentace.</w:t>
      </w:r>
    </w:p>
    <w:p w14:paraId="1596BE36" w14:textId="77777777" w:rsidR="001103F1" w:rsidRDefault="001103F1">
      <w:pPr>
        <w:rPr>
          <w:b/>
        </w:rPr>
      </w:pPr>
    </w:p>
    <w:p w14:paraId="530BE985" w14:textId="77777777" w:rsidR="003B6F4C" w:rsidRDefault="003B6F4C">
      <w:pPr>
        <w:rPr>
          <w:b/>
        </w:rPr>
      </w:pPr>
      <w:r>
        <w:rPr>
          <w:b/>
        </w:rPr>
        <w:t>napojení na inženýrské sítě</w:t>
      </w:r>
    </w:p>
    <w:p w14:paraId="0B0A6D3C" w14:textId="77777777" w:rsidR="003B6F4C" w:rsidRPr="00413C66" w:rsidRDefault="00413C66" w:rsidP="008F5F9C">
      <w:pPr>
        <w:jc w:val="both"/>
      </w:pPr>
      <w:r w:rsidRPr="00413C66">
        <w:t>Stávající objekt je napojen přípojkami elektrické energie, vodovodu, jednotné kanalizace, horkovodu dálkového vytápění a slaboproudé sdělovací sítě.</w:t>
      </w:r>
      <w:r w:rsidR="00526B4F">
        <w:t xml:space="preserve"> Tato připojení budou zachována.</w:t>
      </w:r>
    </w:p>
    <w:p w14:paraId="2A0D4913" w14:textId="77777777" w:rsidR="00526B4F" w:rsidRDefault="00413C66" w:rsidP="008F5F9C">
      <w:pPr>
        <w:jc w:val="both"/>
      </w:pPr>
      <w:r w:rsidRPr="00413C66">
        <w:t xml:space="preserve">Skrze řešený pozemek </w:t>
      </w:r>
      <w:r w:rsidR="00526B4F">
        <w:t xml:space="preserve">při jeho severní hranici </w:t>
      </w:r>
      <w:r w:rsidRPr="00413C66">
        <w:t>prochází i připojení dálkového vytápění sousedního objektu Milady Horákové</w:t>
      </w:r>
      <w:r w:rsidR="00526B4F">
        <w:t xml:space="preserve"> 20 na </w:t>
      </w:r>
      <w:proofErr w:type="spellStart"/>
      <w:r w:rsidR="00526B4F">
        <w:t>parc</w:t>
      </w:r>
      <w:proofErr w:type="spellEnd"/>
      <w:r w:rsidR="00526B4F">
        <w:t xml:space="preserve">. č. 544/2, </w:t>
      </w:r>
      <w:proofErr w:type="spellStart"/>
      <w:r w:rsidR="00526B4F">
        <w:t>k.ú</w:t>
      </w:r>
      <w:proofErr w:type="spellEnd"/>
      <w:r w:rsidR="00526B4F">
        <w:t>. Zábrdovice.</w:t>
      </w:r>
    </w:p>
    <w:p w14:paraId="5AB9332B" w14:textId="77777777" w:rsidR="00413C66" w:rsidRPr="00413C66" w:rsidRDefault="00413C66">
      <w:r w:rsidRPr="00413C66">
        <w:t xml:space="preserve"> </w:t>
      </w:r>
    </w:p>
    <w:p w14:paraId="0DECED96" w14:textId="77777777" w:rsidR="00D220C0" w:rsidRDefault="00D220C0" w:rsidP="00D220C0">
      <w:pPr>
        <w:rPr>
          <w:b/>
        </w:rPr>
      </w:pPr>
      <w:r>
        <w:rPr>
          <w:b/>
        </w:rPr>
        <w:t>koncepce technického zařízení budov</w:t>
      </w:r>
    </w:p>
    <w:p w14:paraId="55635BB9" w14:textId="77777777" w:rsidR="00D220C0" w:rsidRDefault="000669EC" w:rsidP="00173D70">
      <w:pPr>
        <w:jc w:val="both"/>
      </w:pPr>
      <w:r w:rsidRPr="000669EC">
        <w:t>Navržený</w:t>
      </w:r>
      <w:r>
        <w:t xml:space="preserve"> objekt bude využívat připojení na technickou infrastrukturu původního objektu.</w:t>
      </w:r>
    </w:p>
    <w:p w14:paraId="5FC2A5F1" w14:textId="77777777" w:rsidR="000669EC" w:rsidRDefault="00CB1443" w:rsidP="00173D70">
      <w:pPr>
        <w:jc w:val="both"/>
      </w:pPr>
      <w:r>
        <w:t>Hlavním zdrojem tepla pro vytápění a přípravu TUV bude výměníková stanice v 1.pp napojená na horkovod dálkového vytápění.</w:t>
      </w:r>
      <w:r w:rsidR="006F23A9">
        <w:t xml:space="preserve"> V celém objektu je uvažováno podlahové topení.</w:t>
      </w:r>
    </w:p>
    <w:p w14:paraId="4964F14E" w14:textId="77777777" w:rsidR="00FB3467" w:rsidRDefault="00FB3467" w:rsidP="00173D70">
      <w:pPr>
        <w:jc w:val="both"/>
      </w:pPr>
      <w:r>
        <w:t>Objekt bude vybaven systémy vzduchotechniky pro prostory střelnice a hlavní tělocvičny.</w:t>
      </w:r>
    </w:p>
    <w:p w14:paraId="408A269C" w14:textId="77777777" w:rsidR="00FB3467" w:rsidRPr="000669EC" w:rsidRDefault="00FB3467" w:rsidP="00173D70">
      <w:pPr>
        <w:jc w:val="both"/>
      </w:pPr>
      <w:r>
        <w:t>Hlavním zdrojem elektrické energie bude stávající připojení k distribuční soustavě. Ten bude dále doplněn vlastní FVE na střechách objektu</w:t>
      </w:r>
      <w:r w:rsidR="00143B32">
        <w:t xml:space="preserve"> s bateriovým úložištěm v 1.pp.</w:t>
      </w:r>
    </w:p>
    <w:p w14:paraId="0EF81062" w14:textId="77777777" w:rsidR="006F23A9" w:rsidRPr="00A53933" w:rsidRDefault="00143B32" w:rsidP="00173D70">
      <w:pPr>
        <w:jc w:val="both"/>
      </w:pPr>
      <w:r w:rsidRPr="00A53933">
        <w:t xml:space="preserve">Odpadní vody z podzemních podlaží </w:t>
      </w:r>
      <w:r w:rsidR="00A53933" w:rsidRPr="00A53933">
        <w:t xml:space="preserve">budou svedeny do jímky a odtud čerpány do stávající kanalizační přípojky. </w:t>
      </w:r>
      <w:r w:rsidR="006F23A9" w:rsidRPr="00A53933">
        <w:t>Dešťové vody, které nebudou zadrženy akumulací zelených střech</w:t>
      </w:r>
      <w:r w:rsidR="00A53933" w:rsidRPr="00A53933">
        <w:t>,</w:t>
      </w:r>
      <w:r w:rsidR="006F23A9" w:rsidRPr="00A53933">
        <w:t xml:space="preserve"> budou svedeny do retenční nádrže s regulovaným odtokem a bezpečnostním přepadem do stávající kanalizační přípojky.</w:t>
      </w:r>
    </w:p>
    <w:p w14:paraId="5D992DAE" w14:textId="77777777" w:rsidR="00143B32" w:rsidRDefault="00143B32"/>
    <w:p w14:paraId="587A613F" w14:textId="77777777" w:rsidR="00516A0A" w:rsidRDefault="00516A0A" w:rsidP="00516A0A">
      <w:pPr>
        <w:rPr>
          <w:b/>
        </w:rPr>
      </w:pPr>
      <w:r>
        <w:rPr>
          <w:b/>
        </w:rPr>
        <w:lastRenderedPageBreak/>
        <w:t>ene</w:t>
      </w:r>
      <w:r w:rsidRPr="00C17DF7">
        <w:rPr>
          <w:b/>
        </w:rPr>
        <w:t>r</w:t>
      </w:r>
      <w:r>
        <w:rPr>
          <w:b/>
        </w:rPr>
        <w:t>getická koncepce</w:t>
      </w:r>
      <w:r w:rsidRPr="00C17DF7">
        <w:rPr>
          <w:b/>
        </w:rPr>
        <w:t xml:space="preserve"> </w:t>
      </w:r>
    </w:p>
    <w:p w14:paraId="69F1A372" w14:textId="77777777" w:rsidR="00B177E3" w:rsidRPr="00C2772D" w:rsidRDefault="006B3152" w:rsidP="00C2772D">
      <w:pPr>
        <w:jc w:val="both"/>
      </w:pPr>
      <w:r w:rsidRPr="00C2772D">
        <w:t>Obálka budovy bude zateplena kontaktním zateplovacím systémem a osazena výplněmi vnějších otvorů s parametry doporučených normových hodnot. Navržené zelené střechy s akumulační schopností zvyšují tepelnou stabilitu objektu.</w:t>
      </w:r>
    </w:p>
    <w:p w14:paraId="76184C63" w14:textId="77777777" w:rsidR="006B3152" w:rsidRPr="00C2772D" w:rsidRDefault="006B3152" w:rsidP="00C2772D">
      <w:pPr>
        <w:jc w:val="both"/>
      </w:pPr>
      <w:r w:rsidRPr="00C2772D">
        <w:t>Nejvýhodnějším způsobem vytápění je stávající napojení na horkovod dálkového vytápění.</w:t>
      </w:r>
    </w:p>
    <w:p w14:paraId="1D377B76" w14:textId="77777777" w:rsidR="006B3152" w:rsidRDefault="00D4371A" w:rsidP="00C2772D">
      <w:pPr>
        <w:jc w:val="both"/>
      </w:pPr>
      <w:r w:rsidRPr="00C2772D">
        <w:t xml:space="preserve">Celková bilance stavby je vylepšena </w:t>
      </w:r>
      <w:r w:rsidR="00C2772D" w:rsidRPr="00C2772D">
        <w:t>vlastním fotovoltaickým systémem s bateriovým úložištěm.</w:t>
      </w:r>
    </w:p>
    <w:p w14:paraId="36E92DE2" w14:textId="77777777" w:rsidR="00C4430B" w:rsidRPr="00C2772D" w:rsidRDefault="00C4430B" w:rsidP="00C2772D">
      <w:pPr>
        <w:jc w:val="both"/>
      </w:pPr>
    </w:p>
    <w:p w14:paraId="65A23280" w14:textId="77777777" w:rsidR="00BA54B4" w:rsidRPr="00BA54B4" w:rsidRDefault="00BA54B4">
      <w:pPr>
        <w:rPr>
          <w:b/>
        </w:rPr>
      </w:pPr>
      <w:r w:rsidRPr="00BA54B4">
        <w:rPr>
          <w:b/>
        </w:rPr>
        <w:t>hospodaření s dešťovými vodami</w:t>
      </w:r>
    </w:p>
    <w:p w14:paraId="1A784E5D" w14:textId="77777777" w:rsidR="00516A0A" w:rsidRDefault="00BA54B4" w:rsidP="00FC7262">
      <w:pPr>
        <w:jc w:val="both"/>
      </w:pPr>
      <w:r>
        <w:t xml:space="preserve">Územně technické podmínky neumožňují zasakování dešťových vod. Pro </w:t>
      </w:r>
      <w:r w:rsidR="007C79A9">
        <w:t>jejich maximálně hospodárné využití jsou navrženy všechny střechy jako zelené s akumulační schopností.</w:t>
      </w:r>
      <w:r w:rsidR="00F9116B">
        <w:t xml:space="preserve"> Tyto zelené střechy mimo svoji primární funkci zadržení dešťových vod mají déle pozitivní vliv na tepelnou stabilitu objektu a klima města.</w:t>
      </w:r>
      <w:r w:rsidR="007C79A9">
        <w:t xml:space="preserve"> </w:t>
      </w:r>
      <w:r w:rsidR="00FC7262">
        <w:t>Akumulace střech doplněna retenční nádrží s regulovaným odtokem a bezpečnostním přepadem do stávající kanalizační přípojky.</w:t>
      </w:r>
    </w:p>
    <w:p w14:paraId="146314EA" w14:textId="77777777" w:rsidR="00FC7262" w:rsidRPr="00143B32" w:rsidRDefault="00FC7262"/>
    <w:p w14:paraId="3826014B" w14:textId="77777777" w:rsidR="008E3F90" w:rsidRDefault="00D220C0">
      <w:pPr>
        <w:rPr>
          <w:b/>
        </w:rPr>
      </w:pPr>
      <w:r w:rsidRPr="00D220C0">
        <w:rPr>
          <w:b/>
        </w:rPr>
        <w:t>základní kapacity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574"/>
      </w:tblGrid>
      <w:tr w:rsidR="00300004" w:rsidRPr="00AA631F" w14:paraId="3722328F" w14:textId="77777777" w:rsidTr="00ED1D2C">
        <w:tc>
          <w:tcPr>
            <w:tcW w:w="4606" w:type="dxa"/>
          </w:tcPr>
          <w:p w14:paraId="250C5B23" w14:textId="77777777" w:rsidR="00300004" w:rsidRPr="00AA631F" w:rsidRDefault="006B3152" w:rsidP="006B3152">
            <w:r>
              <w:t>celková zastavěná plocha</w:t>
            </w:r>
          </w:p>
        </w:tc>
        <w:tc>
          <w:tcPr>
            <w:tcW w:w="4574" w:type="dxa"/>
          </w:tcPr>
          <w:p w14:paraId="66110CBA" w14:textId="77777777" w:rsidR="00300004" w:rsidRPr="00AA631F" w:rsidRDefault="00300004" w:rsidP="00300004">
            <w:pPr>
              <w:tabs>
                <w:tab w:val="right" w:pos="2482"/>
              </w:tabs>
              <w:jc w:val="right"/>
            </w:pPr>
            <w:r>
              <w:t>1</w:t>
            </w:r>
            <w:r w:rsidR="006B3152">
              <w:t xml:space="preserve"> </w:t>
            </w:r>
            <w:r>
              <w:t>317,1 m</w:t>
            </w:r>
            <w:r w:rsidRPr="006B3152">
              <w:rPr>
                <w:vertAlign w:val="superscript"/>
              </w:rPr>
              <w:t>3</w:t>
            </w:r>
          </w:p>
        </w:tc>
      </w:tr>
      <w:tr w:rsidR="00300004" w:rsidRPr="00AA631F" w14:paraId="1F128D88" w14:textId="77777777" w:rsidTr="00ED1D2C">
        <w:tc>
          <w:tcPr>
            <w:tcW w:w="4606" w:type="dxa"/>
          </w:tcPr>
          <w:p w14:paraId="35FA5C82" w14:textId="77777777" w:rsidR="00300004" w:rsidRPr="00AA631F" w:rsidRDefault="006B3152" w:rsidP="00300004">
            <w:r>
              <w:t>celkový obestavěný prostor</w:t>
            </w:r>
          </w:p>
        </w:tc>
        <w:tc>
          <w:tcPr>
            <w:tcW w:w="4574" w:type="dxa"/>
          </w:tcPr>
          <w:p w14:paraId="60BBC8C8" w14:textId="77777777" w:rsidR="00300004" w:rsidRPr="00AA631F" w:rsidRDefault="006B3152" w:rsidP="00300004">
            <w:pPr>
              <w:tabs>
                <w:tab w:val="right" w:pos="2482"/>
              </w:tabs>
              <w:jc w:val="right"/>
            </w:pPr>
            <w:r>
              <w:t>20 778,5 m</w:t>
            </w:r>
            <w:r w:rsidRPr="006B3152">
              <w:rPr>
                <w:vertAlign w:val="superscript"/>
              </w:rPr>
              <w:t>3</w:t>
            </w:r>
          </w:p>
        </w:tc>
      </w:tr>
      <w:tr w:rsidR="004373E4" w:rsidRPr="00AA631F" w14:paraId="11A16B96" w14:textId="77777777" w:rsidTr="00ED1D2C">
        <w:tc>
          <w:tcPr>
            <w:tcW w:w="4606" w:type="dxa"/>
          </w:tcPr>
          <w:p w14:paraId="25CC4AF6" w14:textId="77777777" w:rsidR="004373E4" w:rsidRPr="00AA631F" w:rsidRDefault="004373E4" w:rsidP="004373E4">
            <w:r>
              <w:t>počet nadzemních podlaží</w:t>
            </w:r>
          </w:p>
        </w:tc>
        <w:tc>
          <w:tcPr>
            <w:tcW w:w="4574" w:type="dxa"/>
          </w:tcPr>
          <w:p w14:paraId="29648DD2" w14:textId="77777777" w:rsidR="004373E4" w:rsidRPr="00AA631F" w:rsidRDefault="004373E4" w:rsidP="0028200A">
            <w:pPr>
              <w:tabs>
                <w:tab w:val="right" w:pos="2482"/>
              </w:tabs>
              <w:jc w:val="right"/>
            </w:pPr>
            <w:r>
              <w:t>7</w:t>
            </w:r>
          </w:p>
        </w:tc>
      </w:tr>
      <w:tr w:rsidR="004373E4" w:rsidRPr="00AA631F" w14:paraId="2EB9D5E2" w14:textId="77777777" w:rsidTr="00ED1D2C">
        <w:tc>
          <w:tcPr>
            <w:tcW w:w="4606" w:type="dxa"/>
            <w:tcBorders>
              <w:bottom w:val="single" w:sz="4" w:space="0" w:color="auto"/>
            </w:tcBorders>
          </w:tcPr>
          <w:p w14:paraId="78A9191A" w14:textId="77777777" w:rsidR="004373E4" w:rsidRPr="00AA631F" w:rsidRDefault="004373E4" w:rsidP="004373E4">
            <w:r>
              <w:t>počet podzemních podlaží</w:t>
            </w:r>
          </w:p>
        </w:tc>
        <w:tc>
          <w:tcPr>
            <w:tcW w:w="4574" w:type="dxa"/>
            <w:tcBorders>
              <w:bottom w:val="single" w:sz="4" w:space="0" w:color="auto"/>
            </w:tcBorders>
          </w:tcPr>
          <w:p w14:paraId="0A3502D2" w14:textId="77777777" w:rsidR="004373E4" w:rsidRPr="00AA631F" w:rsidRDefault="004373E4" w:rsidP="0028200A">
            <w:pPr>
              <w:tabs>
                <w:tab w:val="right" w:pos="2482"/>
              </w:tabs>
              <w:jc w:val="right"/>
            </w:pPr>
            <w:r>
              <w:t>2</w:t>
            </w:r>
          </w:p>
        </w:tc>
      </w:tr>
      <w:tr w:rsidR="00AA631F" w:rsidRPr="00AA631F" w14:paraId="50A96D71" w14:textId="77777777" w:rsidTr="00ED1D2C">
        <w:tc>
          <w:tcPr>
            <w:tcW w:w="4606" w:type="dxa"/>
          </w:tcPr>
          <w:p w14:paraId="2A4EFD4B" w14:textId="77777777" w:rsidR="00AA631F" w:rsidRPr="00AA631F" w:rsidRDefault="00D65503">
            <w:r>
              <w:t>kancelářská plocha</w:t>
            </w:r>
          </w:p>
        </w:tc>
        <w:tc>
          <w:tcPr>
            <w:tcW w:w="4574" w:type="dxa"/>
          </w:tcPr>
          <w:p w14:paraId="3357F6F2" w14:textId="77777777" w:rsidR="00AA631F" w:rsidRPr="00AA631F" w:rsidRDefault="00347165" w:rsidP="0028200A">
            <w:pPr>
              <w:tabs>
                <w:tab w:val="right" w:pos="2482"/>
              </w:tabs>
              <w:jc w:val="right"/>
            </w:pPr>
            <w:r>
              <w:t>151,4 m</w:t>
            </w:r>
            <w:r w:rsidRPr="00347165">
              <w:rPr>
                <w:vertAlign w:val="superscript"/>
              </w:rPr>
              <w:t>2</w:t>
            </w:r>
          </w:p>
        </w:tc>
      </w:tr>
      <w:tr w:rsidR="00391CD2" w:rsidRPr="00AA631F" w14:paraId="684E97A4" w14:textId="77777777" w:rsidTr="00ED1D2C">
        <w:tc>
          <w:tcPr>
            <w:tcW w:w="4606" w:type="dxa"/>
          </w:tcPr>
          <w:p w14:paraId="0ED8657D" w14:textId="77777777" w:rsidR="00391CD2" w:rsidRPr="00AA631F" w:rsidRDefault="00391CD2" w:rsidP="00E5161A">
            <w:r>
              <w:t>ubytování</w:t>
            </w:r>
          </w:p>
        </w:tc>
        <w:tc>
          <w:tcPr>
            <w:tcW w:w="4574" w:type="dxa"/>
          </w:tcPr>
          <w:p w14:paraId="1EBA334B" w14:textId="77777777" w:rsidR="00391CD2" w:rsidRPr="00AA631F" w:rsidRDefault="00391CD2" w:rsidP="00E5161A">
            <w:pPr>
              <w:tabs>
                <w:tab w:val="right" w:pos="2482"/>
              </w:tabs>
              <w:jc w:val="right"/>
            </w:pPr>
            <w:r>
              <w:t>10 lůžek</w:t>
            </w:r>
          </w:p>
        </w:tc>
      </w:tr>
      <w:tr w:rsidR="00AA631F" w:rsidRPr="00AA631F" w14:paraId="03B69099" w14:textId="77777777" w:rsidTr="00ED1D2C">
        <w:tc>
          <w:tcPr>
            <w:tcW w:w="4606" w:type="dxa"/>
          </w:tcPr>
          <w:p w14:paraId="2A1C4ECA" w14:textId="77777777" w:rsidR="00AA631F" w:rsidRPr="00AA631F" w:rsidRDefault="00391CD2">
            <w:r>
              <w:t>učebny</w:t>
            </w:r>
          </w:p>
        </w:tc>
        <w:tc>
          <w:tcPr>
            <w:tcW w:w="4574" w:type="dxa"/>
          </w:tcPr>
          <w:p w14:paraId="1B07578E" w14:textId="77777777" w:rsidR="00AA631F" w:rsidRPr="00AA631F" w:rsidRDefault="00391CD2" w:rsidP="0028200A">
            <w:pPr>
              <w:tabs>
                <w:tab w:val="right" w:pos="2482"/>
              </w:tabs>
              <w:jc w:val="right"/>
            </w:pPr>
            <w:r>
              <w:t>4x 20 os</w:t>
            </w:r>
          </w:p>
        </w:tc>
      </w:tr>
      <w:tr w:rsidR="004373E4" w:rsidRPr="00AA631F" w14:paraId="0C67CB1D" w14:textId="77777777" w:rsidTr="00ED1D2C">
        <w:tc>
          <w:tcPr>
            <w:tcW w:w="4606" w:type="dxa"/>
          </w:tcPr>
          <w:p w14:paraId="0DD5DEEE" w14:textId="77777777" w:rsidR="004373E4" w:rsidRPr="00AA631F" w:rsidRDefault="004373E4" w:rsidP="004373E4">
            <w:r>
              <w:t>celková plocha výstrojního skladu</w:t>
            </w:r>
          </w:p>
        </w:tc>
        <w:tc>
          <w:tcPr>
            <w:tcW w:w="4574" w:type="dxa"/>
          </w:tcPr>
          <w:p w14:paraId="60D5FD6B" w14:textId="77777777" w:rsidR="004373E4" w:rsidRPr="00AA631F" w:rsidRDefault="00A400BF" w:rsidP="0028200A">
            <w:pPr>
              <w:tabs>
                <w:tab w:val="right" w:pos="2482"/>
              </w:tabs>
              <w:jc w:val="right"/>
            </w:pPr>
            <w:r>
              <w:t>161,3 m</w:t>
            </w:r>
            <w:r w:rsidRPr="00A400BF">
              <w:rPr>
                <w:vertAlign w:val="superscript"/>
              </w:rPr>
              <w:t>2</w:t>
            </w:r>
          </w:p>
        </w:tc>
      </w:tr>
      <w:tr w:rsidR="004373E4" w:rsidRPr="00AA631F" w14:paraId="7FF9E487" w14:textId="77777777" w:rsidTr="00ED1D2C">
        <w:tc>
          <w:tcPr>
            <w:tcW w:w="4606" w:type="dxa"/>
            <w:tcBorders>
              <w:bottom w:val="single" w:sz="4" w:space="0" w:color="auto"/>
            </w:tcBorders>
          </w:tcPr>
          <w:p w14:paraId="04E7D7D4" w14:textId="77777777" w:rsidR="004373E4" w:rsidRPr="00AA631F" w:rsidRDefault="004373E4" w:rsidP="004373E4">
            <w:r>
              <w:t>plocha spisovny</w:t>
            </w:r>
          </w:p>
        </w:tc>
        <w:tc>
          <w:tcPr>
            <w:tcW w:w="4574" w:type="dxa"/>
            <w:tcBorders>
              <w:bottom w:val="single" w:sz="4" w:space="0" w:color="auto"/>
            </w:tcBorders>
          </w:tcPr>
          <w:p w14:paraId="4D4F8DA5" w14:textId="77777777" w:rsidR="004373E4" w:rsidRPr="00AA631F" w:rsidRDefault="00F97931" w:rsidP="0028200A">
            <w:pPr>
              <w:tabs>
                <w:tab w:val="right" w:pos="2482"/>
              </w:tabs>
              <w:jc w:val="right"/>
            </w:pPr>
            <w:r>
              <w:t>67,7 m</w:t>
            </w:r>
            <w:r w:rsidRPr="00F97931">
              <w:rPr>
                <w:vertAlign w:val="superscript"/>
              </w:rPr>
              <w:t>2</w:t>
            </w:r>
          </w:p>
        </w:tc>
      </w:tr>
      <w:tr w:rsidR="004373E4" w:rsidRPr="00AA631F" w14:paraId="3C64ABA8" w14:textId="77777777" w:rsidTr="00ED1D2C">
        <w:tc>
          <w:tcPr>
            <w:tcW w:w="4606" w:type="dxa"/>
            <w:tcBorders>
              <w:top w:val="single" w:sz="4" w:space="0" w:color="auto"/>
            </w:tcBorders>
          </w:tcPr>
          <w:p w14:paraId="30C11D55" w14:textId="77777777" w:rsidR="004373E4" w:rsidRPr="00AA631F" w:rsidRDefault="004373E4" w:rsidP="004373E4">
            <w:r>
              <w:t>garážová stání</w:t>
            </w:r>
          </w:p>
        </w:tc>
        <w:tc>
          <w:tcPr>
            <w:tcW w:w="4574" w:type="dxa"/>
            <w:tcBorders>
              <w:top w:val="single" w:sz="4" w:space="0" w:color="auto"/>
            </w:tcBorders>
          </w:tcPr>
          <w:p w14:paraId="7B8F1D51" w14:textId="77777777" w:rsidR="004373E4" w:rsidRPr="00AA631F" w:rsidRDefault="004373E4" w:rsidP="0028200A">
            <w:pPr>
              <w:tabs>
                <w:tab w:val="right" w:pos="2482"/>
              </w:tabs>
              <w:jc w:val="right"/>
            </w:pPr>
            <w:r>
              <w:t>28 míst</w:t>
            </w:r>
          </w:p>
        </w:tc>
      </w:tr>
    </w:tbl>
    <w:p w14:paraId="7D1A0FFD" w14:textId="77777777" w:rsidR="00300004" w:rsidRPr="00300004" w:rsidRDefault="00300004" w:rsidP="00300004">
      <w:pPr>
        <w:spacing w:before="240"/>
      </w:pPr>
    </w:p>
    <w:p w14:paraId="6BE45372" w14:textId="5392C969" w:rsidR="00D220C0" w:rsidRPr="00D812FE" w:rsidRDefault="00ED1D2C">
      <w:pPr>
        <w:rPr>
          <w:b/>
        </w:rPr>
      </w:pPr>
      <w:r>
        <w:rPr>
          <w:b/>
        </w:rPr>
        <w:t>propočet</w:t>
      </w:r>
      <w:r w:rsidR="00BE4B01">
        <w:rPr>
          <w:b/>
        </w:rPr>
        <w:t xml:space="preserve"> </w:t>
      </w:r>
      <w:r w:rsidR="00D812FE" w:rsidRPr="00D812FE">
        <w:rPr>
          <w:b/>
        </w:rPr>
        <w:t>realizační</w:t>
      </w:r>
      <w:r w:rsidR="00BE4B01">
        <w:rPr>
          <w:b/>
        </w:rPr>
        <w:t>ch</w:t>
      </w:r>
      <w:r w:rsidR="00D812FE" w:rsidRPr="00D812FE">
        <w:rPr>
          <w:b/>
        </w:rPr>
        <w:t xml:space="preserve"> a provozní</w:t>
      </w:r>
      <w:r w:rsidR="00BE4B01">
        <w:rPr>
          <w:b/>
        </w:rPr>
        <w:t>ch</w:t>
      </w:r>
      <w:r w:rsidR="00D812FE" w:rsidRPr="00D812FE">
        <w:rPr>
          <w:b/>
        </w:rPr>
        <w:t xml:space="preserve"> náklad</w:t>
      </w:r>
      <w:r w:rsidR="00BE4B01">
        <w:rPr>
          <w:b/>
        </w:rPr>
        <w:t>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69"/>
        <w:gridCol w:w="1947"/>
        <w:gridCol w:w="1948"/>
        <w:gridCol w:w="1948"/>
      </w:tblGrid>
      <w:tr w:rsidR="00807695" w14:paraId="2FE3BCDD" w14:textId="77777777" w:rsidTr="00BE4B01">
        <w:trPr>
          <w:trHeight w:val="269"/>
        </w:trPr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62240B" w14:textId="77777777" w:rsidR="00807695" w:rsidRDefault="00807695">
            <w:r>
              <w:t>realizační náklady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0D7591" w14:textId="77777777" w:rsidR="00807695" w:rsidRDefault="00807695" w:rsidP="00807695">
            <w:pPr>
              <w:jc w:val="right"/>
            </w:pP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63FEAA" w14:textId="77777777" w:rsidR="00807695" w:rsidRDefault="00807695" w:rsidP="00807695">
            <w:pPr>
              <w:jc w:val="right"/>
            </w:pP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2D8212" w14:textId="77777777" w:rsidR="00807695" w:rsidRDefault="00807695" w:rsidP="00807695">
            <w:pPr>
              <w:jc w:val="right"/>
            </w:pPr>
          </w:p>
        </w:tc>
      </w:tr>
      <w:tr w:rsidR="00807695" w14:paraId="051CA7B1" w14:textId="77777777" w:rsidTr="00BE4B01">
        <w:trPr>
          <w:trHeight w:val="269"/>
        </w:trPr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D13955" w14:textId="77777777" w:rsidR="00807695" w:rsidRDefault="00807695" w:rsidP="00807695">
            <w:r>
              <w:t>odstranění stávajícího objektu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163EB" w14:textId="77777777" w:rsidR="00807695" w:rsidRDefault="001B5939" w:rsidP="00807695">
            <w:pPr>
              <w:jc w:val="right"/>
            </w:pPr>
            <w:r>
              <w:t>5694,7 m</w:t>
            </w:r>
            <w:r w:rsidRPr="001B5939">
              <w:rPr>
                <w:vertAlign w:val="superscript"/>
              </w:rPr>
              <w:t>3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319BF" w14:textId="77777777" w:rsidR="00807695" w:rsidRDefault="00C41AAF" w:rsidP="00807695">
            <w:pPr>
              <w:jc w:val="right"/>
            </w:pPr>
            <w:r>
              <w:t>695 Kč / m</w:t>
            </w:r>
            <w:r w:rsidRPr="00C41AAF">
              <w:rPr>
                <w:vertAlign w:val="superscript"/>
              </w:rPr>
              <w:t>3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F7307" w14:textId="77777777" w:rsidR="00807695" w:rsidRDefault="001B5939" w:rsidP="00807695">
            <w:pPr>
              <w:jc w:val="right"/>
            </w:pPr>
            <w:r>
              <w:t>3 957 817 Kč</w:t>
            </w:r>
          </w:p>
        </w:tc>
      </w:tr>
      <w:tr w:rsidR="00807695" w14:paraId="647C93D7" w14:textId="77777777" w:rsidTr="00BE4B01">
        <w:trPr>
          <w:trHeight w:val="269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3759E41A" w14:textId="77777777" w:rsidR="00807695" w:rsidRDefault="00807695">
            <w:r>
              <w:t>novostavba navrženého objektu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14:paraId="0E909922" w14:textId="77777777" w:rsidR="00807695" w:rsidRDefault="00807695" w:rsidP="00807695">
            <w:pPr>
              <w:jc w:val="right"/>
            </w:pPr>
            <w:r>
              <w:t>20778,5 m</w:t>
            </w:r>
            <w:r w:rsidRPr="00807695">
              <w:rPr>
                <w:vertAlign w:val="superscript"/>
              </w:rPr>
              <w:t>3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14:paraId="5C4F5F1A" w14:textId="77777777" w:rsidR="00807695" w:rsidRDefault="00807695" w:rsidP="00807695">
            <w:pPr>
              <w:jc w:val="right"/>
            </w:pPr>
            <w:r>
              <w:t>10 800 Kč / m</w:t>
            </w:r>
            <w:r w:rsidRPr="00807695">
              <w:rPr>
                <w:vertAlign w:val="superscript"/>
              </w:rPr>
              <w:t>3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</w:tcPr>
          <w:p w14:paraId="6C0059A9" w14:textId="77777777" w:rsidR="00807695" w:rsidRDefault="00807695" w:rsidP="00807695">
            <w:pPr>
              <w:jc w:val="right"/>
            </w:pPr>
            <w:r>
              <w:t>224 407 800 Kč</w:t>
            </w:r>
          </w:p>
        </w:tc>
      </w:tr>
      <w:tr w:rsidR="00807695" w14:paraId="182DB04E" w14:textId="77777777" w:rsidTr="00BE4B01">
        <w:trPr>
          <w:trHeight w:val="269"/>
        </w:trPr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408B3B" w14:textId="77777777" w:rsidR="00807695" w:rsidRDefault="00807695">
            <w:r>
              <w:t>projektová dokumentace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2A0E08" w14:textId="77777777" w:rsidR="00807695" w:rsidRDefault="00807695" w:rsidP="00807695">
            <w:pPr>
              <w:jc w:val="right"/>
            </w:pP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691A35" w14:textId="77777777" w:rsidR="00807695" w:rsidRDefault="00807695" w:rsidP="00807695">
            <w:pPr>
              <w:jc w:val="right"/>
            </w:pP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1F19CD" w14:textId="4740235E" w:rsidR="00807695" w:rsidRDefault="00550D02" w:rsidP="00807695">
            <w:pPr>
              <w:jc w:val="right"/>
            </w:pPr>
            <w:r>
              <w:t>12</w:t>
            </w:r>
            <w:bookmarkStart w:id="0" w:name="_GoBack"/>
            <w:bookmarkEnd w:id="0"/>
            <w:r w:rsidR="00807695">
              <w:t> 000 000 Kč</w:t>
            </w:r>
          </w:p>
        </w:tc>
      </w:tr>
      <w:tr w:rsidR="00807695" w14:paraId="3ECDF6D7" w14:textId="77777777" w:rsidTr="00BE4B01">
        <w:trPr>
          <w:trHeight w:val="269"/>
        </w:trPr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16A37" w14:textId="77777777" w:rsidR="00807695" w:rsidRDefault="008F5F9C">
            <w:r>
              <w:t>celkem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E49D92" w14:textId="77777777" w:rsidR="00807695" w:rsidRDefault="00807695" w:rsidP="00807695">
            <w:pPr>
              <w:jc w:val="right"/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D987F" w14:textId="77777777" w:rsidR="00807695" w:rsidRDefault="00807695" w:rsidP="00807695">
            <w:pPr>
              <w:jc w:val="right"/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00B4A" w14:textId="2B437F18" w:rsidR="00807695" w:rsidRDefault="00491444" w:rsidP="00550D02">
            <w:pPr>
              <w:jc w:val="right"/>
            </w:pPr>
            <w:r>
              <w:t>2</w:t>
            </w:r>
            <w:r w:rsidR="00550D02">
              <w:t>40</w:t>
            </w:r>
            <w:r w:rsidR="001B5939">
              <w:t> 365 617 Kč</w:t>
            </w:r>
          </w:p>
        </w:tc>
      </w:tr>
    </w:tbl>
    <w:p w14:paraId="7E837197" w14:textId="77777777" w:rsidR="00D812FE" w:rsidRDefault="00D812F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1947"/>
        <w:gridCol w:w="1948"/>
        <w:gridCol w:w="1948"/>
      </w:tblGrid>
      <w:tr w:rsidR="00E965AD" w14:paraId="448BCFBA" w14:textId="77777777" w:rsidTr="00E965AD">
        <w:trPr>
          <w:trHeight w:val="269"/>
        </w:trPr>
        <w:tc>
          <w:tcPr>
            <w:tcW w:w="3369" w:type="dxa"/>
            <w:tcBorders>
              <w:bottom w:val="single" w:sz="4" w:space="0" w:color="auto"/>
            </w:tcBorders>
          </w:tcPr>
          <w:p w14:paraId="13A9A5BE" w14:textId="77777777" w:rsidR="00E965AD" w:rsidRDefault="00E965AD" w:rsidP="00E965AD">
            <w:r>
              <w:t>provozní náklady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14:paraId="6E483579" w14:textId="77777777" w:rsidR="00E965AD" w:rsidRDefault="00E965AD" w:rsidP="00E965AD">
            <w:pPr>
              <w:jc w:val="right"/>
            </w:pP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14:paraId="63385FC9" w14:textId="77777777" w:rsidR="00E965AD" w:rsidRDefault="00E965AD" w:rsidP="00E965AD">
            <w:pPr>
              <w:jc w:val="right"/>
            </w:pP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14:paraId="04BF938A" w14:textId="77777777" w:rsidR="00E965AD" w:rsidRDefault="00E965AD" w:rsidP="00E965AD">
            <w:pPr>
              <w:jc w:val="right"/>
            </w:pPr>
          </w:p>
        </w:tc>
      </w:tr>
      <w:tr w:rsidR="00157610" w14:paraId="4E14F169" w14:textId="77777777" w:rsidTr="00E965AD">
        <w:trPr>
          <w:trHeight w:val="269"/>
        </w:trPr>
        <w:tc>
          <w:tcPr>
            <w:tcW w:w="3369" w:type="dxa"/>
            <w:tcBorders>
              <w:top w:val="single" w:sz="4" w:space="0" w:color="auto"/>
              <w:bottom w:val="nil"/>
            </w:tcBorders>
          </w:tcPr>
          <w:p w14:paraId="42ACEE0F" w14:textId="77777777" w:rsidR="00157610" w:rsidRDefault="00E965AD" w:rsidP="00E965AD">
            <w:r>
              <w:t>roční provozní náklady</w:t>
            </w:r>
          </w:p>
        </w:tc>
        <w:tc>
          <w:tcPr>
            <w:tcW w:w="1947" w:type="dxa"/>
            <w:tcBorders>
              <w:top w:val="single" w:sz="4" w:space="0" w:color="auto"/>
              <w:bottom w:val="nil"/>
            </w:tcBorders>
          </w:tcPr>
          <w:p w14:paraId="7F3586F8" w14:textId="77777777" w:rsidR="00157610" w:rsidRDefault="00157610" w:rsidP="00157610">
            <w:pPr>
              <w:jc w:val="right"/>
            </w:pPr>
            <w:r>
              <w:t xml:space="preserve">4271,3 m2 </w:t>
            </w:r>
          </w:p>
        </w:tc>
        <w:tc>
          <w:tcPr>
            <w:tcW w:w="1948" w:type="dxa"/>
            <w:tcBorders>
              <w:top w:val="single" w:sz="4" w:space="0" w:color="auto"/>
              <w:bottom w:val="nil"/>
            </w:tcBorders>
          </w:tcPr>
          <w:p w14:paraId="4387C9E9" w14:textId="77777777" w:rsidR="00157610" w:rsidRDefault="00157610" w:rsidP="00157610">
            <w:pPr>
              <w:jc w:val="right"/>
            </w:pPr>
            <w:r>
              <w:t>1928,4 Kč / m2 rok</w:t>
            </w:r>
          </w:p>
        </w:tc>
        <w:tc>
          <w:tcPr>
            <w:tcW w:w="1948" w:type="dxa"/>
            <w:tcBorders>
              <w:top w:val="single" w:sz="4" w:space="0" w:color="auto"/>
              <w:bottom w:val="nil"/>
            </w:tcBorders>
          </w:tcPr>
          <w:p w14:paraId="4B59C630" w14:textId="77777777" w:rsidR="00157610" w:rsidRDefault="00157610" w:rsidP="00157610">
            <w:pPr>
              <w:jc w:val="right"/>
            </w:pPr>
            <w:r>
              <w:t>8 236 775 Kč / rok</w:t>
            </w:r>
          </w:p>
        </w:tc>
      </w:tr>
    </w:tbl>
    <w:p w14:paraId="147E180C" w14:textId="77777777" w:rsidR="00807695" w:rsidRDefault="00807695" w:rsidP="009B5EE7"/>
    <w:sectPr w:rsidR="00807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F90"/>
    <w:rsid w:val="00020820"/>
    <w:rsid w:val="000669EC"/>
    <w:rsid w:val="00082C1F"/>
    <w:rsid w:val="000936F2"/>
    <w:rsid w:val="000B351A"/>
    <w:rsid w:val="000B47E0"/>
    <w:rsid w:val="000B500C"/>
    <w:rsid w:val="000C5F44"/>
    <w:rsid w:val="001103F1"/>
    <w:rsid w:val="00112737"/>
    <w:rsid w:val="00120A92"/>
    <w:rsid w:val="00143B32"/>
    <w:rsid w:val="001540B7"/>
    <w:rsid w:val="00157610"/>
    <w:rsid w:val="00172B41"/>
    <w:rsid w:val="00173D70"/>
    <w:rsid w:val="001A569F"/>
    <w:rsid w:val="001B4385"/>
    <w:rsid w:val="001B5939"/>
    <w:rsid w:val="001C0FAF"/>
    <w:rsid w:val="001E41EE"/>
    <w:rsid w:val="00201399"/>
    <w:rsid w:val="002361A9"/>
    <w:rsid w:val="00256023"/>
    <w:rsid w:val="00261666"/>
    <w:rsid w:val="00271A17"/>
    <w:rsid w:val="0028200A"/>
    <w:rsid w:val="00296A21"/>
    <w:rsid w:val="002B4C39"/>
    <w:rsid w:val="002B73D5"/>
    <w:rsid w:val="002F1EBA"/>
    <w:rsid w:val="002F657F"/>
    <w:rsid w:val="00300004"/>
    <w:rsid w:val="00310390"/>
    <w:rsid w:val="00337C83"/>
    <w:rsid w:val="00347165"/>
    <w:rsid w:val="00364115"/>
    <w:rsid w:val="00376DB2"/>
    <w:rsid w:val="00391CD2"/>
    <w:rsid w:val="003943B4"/>
    <w:rsid w:val="003B6F4C"/>
    <w:rsid w:val="00413C66"/>
    <w:rsid w:val="00421C08"/>
    <w:rsid w:val="00426A1A"/>
    <w:rsid w:val="004373E4"/>
    <w:rsid w:val="004413B4"/>
    <w:rsid w:val="00445328"/>
    <w:rsid w:val="00452AB6"/>
    <w:rsid w:val="004845E6"/>
    <w:rsid w:val="00491444"/>
    <w:rsid w:val="004A1CBC"/>
    <w:rsid w:val="004A6732"/>
    <w:rsid w:val="004C088C"/>
    <w:rsid w:val="004F574C"/>
    <w:rsid w:val="005030B7"/>
    <w:rsid w:val="00504183"/>
    <w:rsid w:val="00516A0A"/>
    <w:rsid w:val="00526B4F"/>
    <w:rsid w:val="00531656"/>
    <w:rsid w:val="00542E42"/>
    <w:rsid w:val="00550D02"/>
    <w:rsid w:val="00556472"/>
    <w:rsid w:val="00577C55"/>
    <w:rsid w:val="005844FC"/>
    <w:rsid w:val="005B13AF"/>
    <w:rsid w:val="005C3BBD"/>
    <w:rsid w:val="00625366"/>
    <w:rsid w:val="00627F22"/>
    <w:rsid w:val="00636F95"/>
    <w:rsid w:val="0064216D"/>
    <w:rsid w:val="00677184"/>
    <w:rsid w:val="006773C8"/>
    <w:rsid w:val="00680415"/>
    <w:rsid w:val="00681317"/>
    <w:rsid w:val="006B3152"/>
    <w:rsid w:val="006F23A9"/>
    <w:rsid w:val="00703CF5"/>
    <w:rsid w:val="0071671F"/>
    <w:rsid w:val="0072660F"/>
    <w:rsid w:val="007504D4"/>
    <w:rsid w:val="007806F7"/>
    <w:rsid w:val="007A3461"/>
    <w:rsid w:val="007A4ED4"/>
    <w:rsid w:val="007C79A9"/>
    <w:rsid w:val="00804FF5"/>
    <w:rsid w:val="00807695"/>
    <w:rsid w:val="008547BD"/>
    <w:rsid w:val="00871D85"/>
    <w:rsid w:val="008720D6"/>
    <w:rsid w:val="008C3680"/>
    <w:rsid w:val="008E3F90"/>
    <w:rsid w:val="008E6BBB"/>
    <w:rsid w:val="008F5F9C"/>
    <w:rsid w:val="008F6953"/>
    <w:rsid w:val="00904362"/>
    <w:rsid w:val="009172A8"/>
    <w:rsid w:val="0092088C"/>
    <w:rsid w:val="009B5EE7"/>
    <w:rsid w:val="00A32FA5"/>
    <w:rsid w:val="00A400BF"/>
    <w:rsid w:val="00A53933"/>
    <w:rsid w:val="00A60449"/>
    <w:rsid w:val="00A86804"/>
    <w:rsid w:val="00AA631F"/>
    <w:rsid w:val="00AE4877"/>
    <w:rsid w:val="00AF1592"/>
    <w:rsid w:val="00B177E3"/>
    <w:rsid w:val="00B20DC0"/>
    <w:rsid w:val="00B56FBD"/>
    <w:rsid w:val="00B86D5D"/>
    <w:rsid w:val="00B93189"/>
    <w:rsid w:val="00BA54B4"/>
    <w:rsid w:val="00BE4B01"/>
    <w:rsid w:val="00C016CA"/>
    <w:rsid w:val="00C17DF7"/>
    <w:rsid w:val="00C2772D"/>
    <w:rsid w:val="00C41AAF"/>
    <w:rsid w:val="00C4430B"/>
    <w:rsid w:val="00C46BAD"/>
    <w:rsid w:val="00C65B78"/>
    <w:rsid w:val="00CB1443"/>
    <w:rsid w:val="00CB7389"/>
    <w:rsid w:val="00CB7F56"/>
    <w:rsid w:val="00CF2DC5"/>
    <w:rsid w:val="00D220C0"/>
    <w:rsid w:val="00D236D6"/>
    <w:rsid w:val="00D31CC1"/>
    <w:rsid w:val="00D4371A"/>
    <w:rsid w:val="00D46181"/>
    <w:rsid w:val="00D65503"/>
    <w:rsid w:val="00D812FE"/>
    <w:rsid w:val="00DD61E7"/>
    <w:rsid w:val="00E06F9A"/>
    <w:rsid w:val="00E12911"/>
    <w:rsid w:val="00E42FC9"/>
    <w:rsid w:val="00E45E20"/>
    <w:rsid w:val="00E51365"/>
    <w:rsid w:val="00E5161A"/>
    <w:rsid w:val="00E5287D"/>
    <w:rsid w:val="00E571A2"/>
    <w:rsid w:val="00E7579D"/>
    <w:rsid w:val="00E840BB"/>
    <w:rsid w:val="00E965AD"/>
    <w:rsid w:val="00ED1D2C"/>
    <w:rsid w:val="00F304B2"/>
    <w:rsid w:val="00F740A9"/>
    <w:rsid w:val="00F9116B"/>
    <w:rsid w:val="00F944E8"/>
    <w:rsid w:val="00F97931"/>
    <w:rsid w:val="00FB3467"/>
    <w:rsid w:val="00FC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EDD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A6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0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3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A6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0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3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3080</TotalTime>
  <Pages>8</Pages>
  <Words>2171</Words>
  <Characters>12814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karel</cp:lastModifiedBy>
  <cp:revision>46</cp:revision>
  <dcterms:created xsi:type="dcterms:W3CDTF">2024-03-06T07:13:00Z</dcterms:created>
  <dcterms:modified xsi:type="dcterms:W3CDTF">2024-03-28T12:01:00Z</dcterms:modified>
</cp:coreProperties>
</file>