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7A7" w:rsidRDefault="009317A7" w:rsidP="009317A7">
      <w:bookmarkStart w:id="0" w:name="_Toc57478804"/>
      <w:bookmarkStart w:id="1" w:name="_GoBack"/>
      <w:bookmarkEnd w:id="1"/>
    </w:p>
    <w:p w:rsidR="000337EA" w:rsidRDefault="000337EA" w:rsidP="009317A7"/>
    <w:p w:rsidR="000337EA" w:rsidRDefault="000337EA" w:rsidP="009317A7"/>
    <w:p w:rsidR="000337EA" w:rsidRDefault="000337EA" w:rsidP="009317A7"/>
    <w:p w:rsidR="000337EA" w:rsidRDefault="000337EA" w:rsidP="009317A7"/>
    <w:p w:rsidR="000337EA" w:rsidRDefault="000337EA" w:rsidP="000337EA">
      <w:pPr>
        <w:ind w:left="0"/>
      </w:pPr>
    </w:p>
    <w:p w:rsidR="000337EA" w:rsidRDefault="000337EA" w:rsidP="009317A7"/>
    <w:p w:rsidR="00A47F39" w:rsidRDefault="00A47F39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1E03F6" w:rsidP="009317A7">
      <w:r>
        <w:t xml:space="preserve">  </w:t>
      </w:r>
    </w:p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D93952" w:rsidRDefault="00D93952" w:rsidP="009317A7"/>
    <w:p w:rsidR="000337EA" w:rsidRDefault="002D5F79" w:rsidP="009317A7">
      <w:r>
        <w:tab/>
      </w:r>
    </w:p>
    <w:p w:rsidR="009317A7" w:rsidRPr="00710C9E" w:rsidRDefault="009317A7" w:rsidP="009317A7">
      <w:pPr>
        <w:ind w:left="0"/>
      </w:pPr>
    </w:p>
    <w:p w:rsidR="009317A7" w:rsidRDefault="009317A7" w:rsidP="00AF53A8"/>
    <w:p w:rsidR="000337EA" w:rsidRPr="000548D1" w:rsidRDefault="000337EA" w:rsidP="000337EA">
      <w:pPr>
        <w:ind w:left="0"/>
        <w:rPr>
          <w:b/>
          <w:sz w:val="28"/>
          <w:szCs w:val="28"/>
        </w:rPr>
      </w:pPr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  <w:sz w:val="20"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  <w:sz w:val="22"/>
        </w:rPr>
      </w:sdtEndPr>
      <w:sdtContent>
        <w:bookmarkStart w:id="2" w:name="_Toc505324524" w:displacedByCustomXml="prev"/>
        <w:p w:rsidR="00721C29" w:rsidRDefault="000337EA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721C29" w:rsidRPr="00513DBD">
            <w:rPr>
              <w:rFonts w:ascii="Century Gothic" w:hAnsi="Century Gothic" w:cs="Times New Roman"/>
              <w:noProof/>
              <w:snapToGrid w:val="0"/>
              <w:w w:val="0"/>
            </w:rPr>
            <w:t>B.</w:t>
          </w:r>
          <w:r w:rsidR="00721C29"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="00721C29" w:rsidRPr="00513DBD">
            <w:rPr>
              <w:noProof/>
            </w:rPr>
            <w:t>SOUHRNNÁ TECHNICKÁ ZPRÁVA</w:t>
          </w:r>
          <w:r w:rsidR="00721C29">
            <w:rPr>
              <w:noProof/>
            </w:rPr>
            <w:tab/>
          </w:r>
          <w:r w:rsidR="00721C29">
            <w:rPr>
              <w:noProof/>
            </w:rPr>
            <w:fldChar w:fldCharType="begin"/>
          </w:r>
          <w:r w:rsidR="00721C29">
            <w:rPr>
              <w:noProof/>
            </w:rPr>
            <w:instrText xml:space="preserve"> PAGEREF _Toc170474515 \h </w:instrText>
          </w:r>
          <w:r w:rsidR="00721C29">
            <w:rPr>
              <w:noProof/>
            </w:rPr>
          </w:r>
          <w:r w:rsidR="00721C29">
            <w:rPr>
              <w:noProof/>
            </w:rPr>
            <w:fldChar w:fldCharType="separate"/>
          </w:r>
          <w:r w:rsidR="00721C29">
            <w:rPr>
              <w:noProof/>
            </w:rPr>
            <w:t>2</w:t>
          </w:r>
          <w:r w:rsidR="00721C29">
            <w:rPr>
              <w:noProof/>
            </w:rPr>
            <w:fldChar w:fldCharType="end"/>
          </w:r>
        </w:p>
        <w:p w:rsidR="00721C29" w:rsidRDefault="00721C2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noProof/>
            </w:rPr>
            <w:t>B.1.</w:t>
          </w:r>
          <w:r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Pr="00513DBD">
            <w:rPr>
              <w:noProof/>
            </w:rPr>
            <w:t>POPIS ÚZEMÍ 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_Toc170474516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721C29" w:rsidRDefault="00721C2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noProof/>
            </w:rPr>
            <w:t>B.2.</w:t>
          </w:r>
          <w:r>
            <w:rPr>
              <w:rFonts w:asciiTheme="minorHAnsi" w:eastAsiaTheme="minorEastAsia" w:hAnsiTheme="minorHAnsi"/>
              <w:noProof/>
              <w:lang w:eastAsia="cs-CZ"/>
            </w:rPr>
            <w:tab/>
          </w:r>
          <w:r w:rsidRPr="00513DBD">
            <w:rPr>
              <w:noProof/>
            </w:rPr>
            <w:t>CELKOVÝ POPIS 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_Toc170474517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0337EA" w:rsidRDefault="000337EA" w:rsidP="000337EA">
          <w:r>
            <w:fldChar w:fldCharType="end"/>
          </w:r>
        </w:p>
      </w:sdtContent>
    </w:sdt>
    <w:bookmarkEnd w:id="2" w:displacedByCustomXml="prev"/>
    <w:p w:rsidR="00AF53A8" w:rsidRPr="006D59D0" w:rsidRDefault="000337EA" w:rsidP="00AF53A8">
      <w:pPr>
        <w:pStyle w:val="Nadpis1"/>
      </w:pPr>
      <w:bookmarkStart w:id="3" w:name="_Toc170474515"/>
      <w:r w:rsidRPr="006D59D0">
        <w:rPr>
          <w:caps w:val="0"/>
        </w:rPr>
        <w:lastRenderedPageBreak/>
        <w:t>SOUHRNNÁ TECHNICKÁ ZPRÁVA</w:t>
      </w:r>
      <w:bookmarkEnd w:id="0"/>
      <w:bookmarkEnd w:id="3"/>
    </w:p>
    <w:p w:rsidR="00AF53A8" w:rsidRPr="006D59D0" w:rsidRDefault="000337EA" w:rsidP="00AF53A8">
      <w:pPr>
        <w:pStyle w:val="Nadpis2"/>
      </w:pPr>
      <w:bookmarkStart w:id="4" w:name="_Toc57478805"/>
      <w:bookmarkStart w:id="5" w:name="_Toc170474516"/>
      <w:r w:rsidRPr="006D59D0">
        <w:rPr>
          <w:caps w:val="0"/>
        </w:rPr>
        <w:t>POPIS ÚZEMÍ STAVBY</w:t>
      </w:r>
      <w:bookmarkEnd w:id="4"/>
      <w:bookmarkEnd w:id="5"/>
    </w:p>
    <w:p w:rsidR="00DD5CE6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bookmarkStart w:id="6" w:name="_Toc505324150"/>
      <w:bookmarkStart w:id="7" w:name="_Toc505324519"/>
      <w:r w:rsidRPr="00C260B3">
        <w:rPr>
          <w:rFonts w:cs="Arial"/>
          <w:color w:val="000000" w:themeColor="text1"/>
          <w:lang w:eastAsia="cs-CZ"/>
        </w:rPr>
        <w:t>Charakteristika území a stavebního pozemku, zastavěné území a nezastavěné území, soulad navrhované stavby s charakterem území, dosavadní využití a zastavěnost území</w:t>
      </w:r>
    </w:p>
    <w:p w:rsidR="00DC696D" w:rsidRPr="00C260B3" w:rsidRDefault="00DC696D" w:rsidP="00DC696D">
      <w:pPr>
        <w:ind w:left="0"/>
      </w:pPr>
      <w:r w:rsidRPr="00C260B3">
        <w:t xml:space="preserve">Řešená stavba </w:t>
      </w:r>
      <w:r w:rsidR="00C260B3" w:rsidRPr="00C260B3">
        <w:t xml:space="preserve">se nachází v areálu Domova pro seniory Nopova. </w:t>
      </w:r>
      <w:r w:rsidRPr="00C260B3">
        <w:t>Vymezení stavby pak odpovídá poloze stávajíc</w:t>
      </w:r>
      <w:r w:rsidR="0008274E" w:rsidRPr="00C260B3">
        <w:t>í kanalizace</w:t>
      </w:r>
      <w:r w:rsidRPr="00C260B3">
        <w:t>, jež je určen</w:t>
      </w:r>
      <w:r w:rsidR="0008274E" w:rsidRPr="00C260B3">
        <w:t>a</w:t>
      </w:r>
      <w:r w:rsidRPr="00C260B3">
        <w:t xml:space="preserve"> k</w:t>
      </w:r>
      <w:r w:rsidR="003B5EFE" w:rsidRPr="00C260B3">
        <w:t> drobné rekonstrukci</w:t>
      </w:r>
      <w:r w:rsidRPr="00C260B3">
        <w:t xml:space="preserve">. 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Údaje o souladu s územním rozhodnutím nebo regulačním plánem nebo veřejnoprávní smlouvou územní rozhodnutí nahrazující anebo územním souhlasem</w:t>
      </w:r>
    </w:p>
    <w:p w:rsidR="00AF53A8" w:rsidRPr="00C260B3" w:rsidRDefault="001C607C" w:rsidP="0015304B">
      <w:pPr>
        <w:ind w:left="0"/>
      </w:pPr>
      <w:r w:rsidRPr="00C260B3">
        <w:t>Netýká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Údaje o souladu stavby s územně plánovací dokumentací, v případě stavebních úprav podmiňujících změnu v užívání stavby</w:t>
      </w:r>
    </w:p>
    <w:p w:rsidR="000D613D" w:rsidRPr="00C260B3" w:rsidRDefault="000D613D" w:rsidP="000D613D">
      <w:pPr>
        <w:ind w:left="0"/>
      </w:pPr>
      <w:r w:rsidRPr="00C260B3">
        <w:t>Netýká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Informace o vydaných rozhodnutích o povolení výjimky z obecných požadavků na využívání území</w:t>
      </w:r>
    </w:p>
    <w:p w:rsidR="00AF53A8" w:rsidRPr="00C260B3" w:rsidRDefault="00AF53A8" w:rsidP="0015304B">
      <w:pPr>
        <w:ind w:left="0"/>
      </w:pPr>
      <w:r w:rsidRPr="00C260B3">
        <w:t>Ne</w:t>
      </w:r>
      <w:r w:rsidR="00DD5CE6" w:rsidRPr="00C260B3">
        <w:t>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Informace o tom, zda a v jakých částech dokumentace jsou zohledněny podmínky závazných stanovisek dotčených orgánů</w:t>
      </w:r>
    </w:p>
    <w:p w:rsidR="00AF53A8" w:rsidRPr="00C260B3" w:rsidRDefault="005055A0" w:rsidP="0015304B">
      <w:pPr>
        <w:ind w:left="0"/>
      </w:pPr>
      <w:r w:rsidRPr="00C260B3">
        <w:t>Netýká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Výčet a závěry provedených průzkumů a rozborů – geologický průzkum, hydrogeologický průzkum, stavebně historický průzkum apod.</w:t>
      </w:r>
    </w:p>
    <w:p w:rsidR="00E652E5" w:rsidRPr="00C260B3" w:rsidRDefault="005055A0" w:rsidP="005055A0">
      <w:pPr>
        <w:ind w:left="0"/>
      </w:pPr>
      <w:r w:rsidRPr="00C260B3">
        <w:t>Netýká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Ochrana území podle jiných právních předpisů</w:t>
      </w:r>
      <w:r w:rsidRPr="00C260B3">
        <w:rPr>
          <w:rFonts w:cs="Arial"/>
          <w:color w:val="000000" w:themeColor="text1"/>
          <w:vertAlign w:val="superscript"/>
          <w:lang w:eastAsia="cs-CZ"/>
        </w:rPr>
        <w:t>1)</w:t>
      </w:r>
    </w:p>
    <w:p w:rsidR="00AF53A8" w:rsidRPr="00C260B3" w:rsidRDefault="00D20F20" w:rsidP="0015304B">
      <w:pPr>
        <w:ind w:left="0"/>
      </w:pPr>
      <w:r w:rsidRPr="00C260B3">
        <w:t>Netýká se.</w:t>
      </w:r>
    </w:p>
    <w:p w:rsidR="00AF53A8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 xml:space="preserve">Poloha vzhledem k záplavovému území, poddolovanému </w:t>
      </w:r>
      <w:proofErr w:type="gramStart"/>
      <w:r w:rsidRPr="00C260B3">
        <w:rPr>
          <w:rFonts w:cs="Arial"/>
          <w:color w:val="000000" w:themeColor="text1"/>
          <w:lang w:eastAsia="cs-CZ"/>
        </w:rPr>
        <w:t>území,</w:t>
      </w:r>
      <w:proofErr w:type="gramEnd"/>
      <w:r w:rsidRPr="00C260B3">
        <w:rPr>
          <w:rFonts w:cs="Arial"/>
          <w:color w:val="000000" w:themeColor="text1"/>
          <w:lang w:eastAsia="cs-CZ"/>
        </w:rPr>
        <w:t xml:space="preserve"> apod.</w:t>
      </w:r>
    </w:p>
    <w:p w:rsidR="00AF53A8" w:rsidRPr="00C260B3" w:rsidRDefault="00F3493B" w:rsidP="0015304B">
      <w:pPr>
        <w:ind w:left="0"/>
      </w:pPr>
      <w:r w:rsidRPr="00C260B3">
        <w:t>Stavba</w:t>
      </w:r>
      <w:r w:rsidR="00AF53A8" w:rsidRPr="00C260B3">
        <w:t xml:space="preserve"> se nachází </w:t>
      </w:r>
      <w:r w:rsidR="009036C1" w:rsidRPr="00C260B3">
        <w:t>mimo</w:t>
      </w:r>
      <w:r w:rsidR="00AF53A8" w:rsidRPr="00C260B3">
        <w:t xml:space="preserve"> </w:t>
      </w:r>
      <w:r w:rsidR="009036C1" w:rsidRPr="00C260B3">
        <w:t>záplavové a</w:t>
      </w:r>
      <w:r w:rsidRPr="00C260B3">
        <w:t xml:space="preserve"> poddolované území.</w:t>
      </w:r>
    </w:p>
    <w:p w:rsidR="00F50F33" w:rsidRPr="00C260B3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C260B3">
        <w:rPr>
          <w:rFonts w:cs="Arial"/>
          <w:color w:val="000000" w:themeColor="text1"/>
          <w:lang w:eastAsia="cs-CZ"/>
        </w:rPr>
        <w:t>Vliv stavby na okolní stavby a pozemky, ochrana okolí, vliv stavby na odtokové poměry v území</w:t>
      </w:r>
    </w:p>
    <w:p w:rsidR="00AF53A8" w:rsidRPr="00E8080E" w:rsidRDefault="00AF53A8" w:rsidP="0015304B">
      <w:pPr>
        <w:ind w:left="0"/>
      </w:pPr>
      <w:r w:rsidRPr="00C260B3">
        <w:t>V průběhu stavby mohou vznikat v jisté míře negativní vlivy na okolí, především co se týče hluku ze stavební činnosti. Budou dodrženy požadavky vládního nařízení č.148/2006 Sb. o ochraně zdraví před nepříznivými účinky hluku a vibrací bude zohledněna hluková zátěž z mobilních i stacionárních zdrojů hluku, technologie provozu, dopravní hlučnost, denní provoz.</w:t>
      </w:r>
      <w:r w:rsidR="00F50F33" w:rsidRPr="00C260B3">
        <w:t xml:space="preserve"> Míra zhoršení bude závislá na kvalitě organizace výstavby, stavebním dozoru a schopnostech dodavatele.</w:t>
      </w:r>
      <w:r w:rsidR="00CF11A2" w:rsidRPr="00C260B3">
        <w:t xml:space="preserve"> </w:t>
      </w:r>
      <w:r w:rsidRPr="00C260B3">
        <w:t>Vliv stavby nebude mít také negativní vliv na odtokové poměry v území.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Požadavky na asanace, demolice, kácení dřevin</w:t>
      </w:r>
    </w:p>
    <w:p w:rsidR="00AF53A8" w:rsidRPr="00E8080E" w:rsidRDefault="005055A0" w:rsidP="0015304B">
      <w:pPr>
        <w:ind w:left="0"/>
      </w:pPr>
      <w:r w:rsidRPr="00B77D53">
        <w:t>Netýká se.</w:t>
      </w:r>
    </w:p>
    <w:p w:rsidR="00AF53A8" w:rsidRPr="00E8080E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E8080E">
        <w:rPr>
          <w:rFonts w:cs="Arial"/>
          <w:color w:val="000000" w:themeColor="text1"/>
          <w:lang w:eastAsia="cs-CZ"/>
        </w:rPr>
        <w:t>Požadavky na maximální dočasné a trvalé zábory zemědělského půdního fondu nebo pozemků určených k plnění funkce lesa</w:t>
      </w:r>
    </w:p>
    <w:p w:rsidR="00AF53A8" w:rsidRPr="006D59D0" w:rsidRDefault="00D20F20" w:rsidP="0015304B">
      <w:pPr>
        <w:ind w:left="0"/>
      </w:pPr>
      <w:r w:rsidRPr="006D59D0">
        <w:t>Netýká se.</w:t>
      </w:r>
    </w:p>
    <w:p w:rsidR="00AF53A8" w:rsidRPr="006D59D0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Územně technické podmínky – zejména možnost napojení na stávající dopravní a technickou infrastrukturu, možnost bezbariérového přístupu k navrhované stavb</w:t>
      </w:r>
      <w:r w:rsidR="002E6EA0" w:rsidRPr="006D59D0">
        <w:rPr>
          <w:rFonts w:cs="Arial"/>
          <w:color w:val="000000" w:themeColor="text1"/>
          <w:lang w:eastAsia="cs-CZ"/>
        </w:rPr>
        <w:t>ě</w:t>
      </w:r>
    </w:p>
    <w:p w:rsidR="00433F4C" w:rsidRPr="006D59D0" w:rsidRDefault="00433F4C" w:rsidP="0015304B">
      <w:pPr>
        <w:ind w:left="0"/>
        <w:rPr>
          <w:lang w:eastAsia="cs-CZ"/>
        </w:rPr>
      </w:pPr>
      <w:r w:rsidRPr="006D59D0">
        <w:rPr>
          <w:lang w:eastAsia="cs-CZ"/>
        </w:rPr>
        <w:lastRenderedPageBreak/>
        <w:t>Netýká se.</w:t>
      </w:r>
    </w:p>
    <w:p w:rsidR="00AF53A8" w:rsidRPr="006D59D0" w:rsidRDefault="00AF53A8" w:rsidP="0015304B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Věcně a časové vazby stavby, podmiňující</w:t>
      </w:r>
      <w:r w:rsidR="00183D99" w:rsidRPr="006D59D0">
        <w:rPr>
          <w:rFonts w:cs="Arial"/>
          <w:color w:val="000000" w:themeColor="text1"/>
          <w:lang w:eastAsia="cs-CZ"/>
        </w:rPr>
        <w:t xml:space="preserve">, </w:t>
      </w:r>
      <w:r w:rsidRPr="006D59D0">
        <w:rPr>
          <w:rFonts w:cs="Arial"/>
          <w:color w:val="000000" w:themeColor="text1"/>
          <w:lang w:eastAsia="cs-CZ"/>
        </w:rPr>
        <w:t>vyvolané</w:t>
      </w:r>
      <w:r w:rsidR="00183D99" w:rsidRPr="006D59D0">
        <w:rPr>
          <w:rFonts w:cs="Arial"/>
          <w:color w:val="000000" w:themeColor="text1"/>
          <w:lang w:eastAsia="cs-CZ"/>
        </w:rPr>
        <w:t xml:space="preserve">, související </w:t>
      </w:r>
      <w:r w:rsidRPr="006D59D0">
        <w:rPr>
          <w:rFonts w:cs="Arial"/>
          <w:color w:val="000000" w:themeColor="text1"/>
          <w:lang w:eastAsia="cs-CZ"/>
        </w:rPr>
        <w:t>investice</w:t>
      </w:r>
    </w:p>
    <w:p w:rsidR="00EC7861" w:rsidRPr="00E86FCD" w:rsidRDefault="00EC7861" w:rsidP="00EC7861">
      <w:pPr>
        <w:ind w:left="0"/>
      </w:pPr>
      <w:r w:rsidRPr="00E86FCD">
        <w:t>Stavba drobné rekonstrukce kanalizace je koordinována s</w:t>
      </w:r>
      <w:bookmarkStart w:id="8" w:name="_Hlk170471951"/>
      <w:r w:rsidRPr="00E86FCD">
        <w:t>e stavbou akce „</w:t>
      </w:r>
      <w:r w:rsidR="000C2BB6">
        <w:t>Domov pro seniory Brno, Nopova</w:t>
      </w:r>
      <w:r w:rsidRPr="00E86FCD">
        <w:t>“ jež připravuje DS Nopova s.r.o.</w:t>
      </w:r>
      <w:bookmarkEnd w:id="8"/>
    </w:p>
    <w:p w:rsidR="00307869" w:rsidRPr="00D73BDF" w:rsidRDefault="00E93268" w:rsidP="00E93268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D73BDF">
        <w:rPr>
          <w:rFonts w:cs="Arial"/>
          <w:color w:val="000000" w:themeColor="text1"/>
          <w:lang w:eastAsia="cs-CZ"/>
        </w:rPr>
        <w:t>Seznam pozemků podle katastru nemovitostí, na kterých se stavba umísťuje a provádí</w:t>
      </w:r>
    </w:p>
    <w:tbl>
      <w:tblPr>
        <w:tblW w:w="9639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5055A0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5055A0" w:rsidRPr="006744B9" w:rsidRDefault="005055A0" w:rsidP="00662F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6744B9">
              <w:rPr>
                <w:rFonts w:eastAsiaTheme="minorHAnsi" w:cstheme="minorBidi"/>
              </w:rPr>
              <w:t>Parcelní číslo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5055A0" w:rsidRPr="006744B9" w:rsidRDefault="005055A0" w:rsidP="00662F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6744B9">
              <w:rPr>
                <w:rFonts w:eastAsiaTheme="minorHAnsi" w:cstheme="minorBidi"/>
              </w:rPr>
              <w:t>Vlastník nemovitosti</w:t>
            </w:r>
          </w:p>
        </w:tc>
      </w:tr>
      <w:tr w:rsidR="009036C1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9036C1" w:rsidRPr="00A24121" w:rsidRDefault="004B3B57" w:rsidP="00500055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5765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9036C1" w:rsidRPr="004B3B57" w:rsidRDefault="009036C1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  <w:tr w:rsidR="009036C1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9036C1" w:rsidRPr="00A24121" w:rsidRDefault="004B3B57" w:rsidP="00500055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5732/9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9036C1" w:rsidRPr="004B3B57" w:rsidRDefault="009036C1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  <w:tr w:rsidR="001E4E67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1E4E67" w:rsidRPr="00A24121" w:rsidRDefault="004B3B57" w:rsidP="001E4E67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5732/10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1E4E67" w:rsidRPr="004B3B57" w:rsidRDefault="001E4E67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  <w:tr w:rsidR="004B3B57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4B3B57" w:rsidRPr="00A24121" w:rsidRDefault="004B3B57" w:rsidP="004B3B57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5732/6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4B3B57" w:rsidRPr="004B3B57" w:rsidRDefault="004B3B57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  <w:tr w:rsidR="004B3B57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4B3B57" w:rsidRPr="00A24121" w:rsidRDefault="004B3B57" w:rsidP="004B3B57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5732/3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4B3B57" w:rsidRPr="004B3B57" w:rsidRDefault="004B3B57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  <w:tr w:rsidR="004B3B57" w:rsidRPr="006D59D0" w:rsidTr="005055A0">
        <w:trPr>
          <w:trHeight w:val="368"/>
        </w:trPr>
        <w:tc>
          <w:tcPr>
            <w:tcW w:w="1560" w:type="dxa"/>
            <w:shd w:val="clear" w:color="auto" w:fill="auto"/>
            <w:noWrap/>
            <w:vAlign w:val="center"/>
          </w:tcPr>
          <w:p w:rsidR="004B3B57" w:rsidRPr="00A24121" w:rsidRDefault="004B3B57" w:rsidP="004B3B57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A24121">
              <w:rPr>
                <w:rFonts w:eastAsiaTheme="minorHAnsi" w:cstheme="minorBidi"/>
              </w:rPr>
              <w:t>5371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4B3B57" w:rsidRPr="004B3B57" w:rsidRDefault="004B3B57" w:rsidP="00A24121">
            <w:pPr>
              <w:pStyle w:val="Zptenadresanaoblku"/>
              <w:jc w:val="center"/>
              <w:rPr>
                <w:rFonts w:eastAsiaTheme="minorHAnsi" w:cstheme="minorBidi"/>
              </w:rPr>
            </w:pPr>
            <w:r w:rsidRPr="004B3B57">
              <w:rPr>
                <w:rFonts w:eastAsiaTheme="minorHAnsi" w:cstheme="minorBidi"/>
              </w:rPr>
              <w:t>Statutární město Brno</w:t>
            </w:r>
          </w:p>
        </w:tc>
      </w:tr>
    </w:tbl>
    <w:p w:rsidR="00AF53A8" w:rsidRDefault="00AF53A8" w:rsidP="006D5CA3">
      <w:pPr>
        <w:pStyle w:val="Nadpis4"/>
        <w:ind w:left="454" w:hanging="454"/>
        <w:rPr>
          <w:rFonts w:cs="Arial"/>
          <w:color w:val="000000" w:themeColor="text1"/>
          <w:lang w:eastAsia="cs-CZ"/>
        </w:rPr>
      </w:pPr>
      <w:r w:rsidRPr="006D59D0">
        <w:rPr>
          <w:rFonts w:cs="Arial"/>
          <w:color w:val="000000" w:themeColor="text1"/>
          <w:lang w:eastAsia="cs-CZ"/>
        </w:rPr>
        <w:t>Seznam pozemků podle katastru nemovitostí, na kterých vznikne ochranné nebo bezpečnostní pásmo</w:t>
      </w:r>
    </w:p>
    <w:p w:rsidR="009036C1" w:rsidRDefault="009036C1" w:rsidP="009036C1">
      <w:pPr>
        <w:ind w:left="0"/>
      </w:pPr>
      <w:r>
        <w:t>Netýká se.</w:t>
      </w:r>
    </w:p>
    <w:p w:rsidR="00AF53A8" w:rsidRPr="006D59D0" w:rsidRDefault="000337EA" w:rsidP="00AF53A8">
      <w:pPr>
        <w:pStyle w:val="Nadpis2"/>
      </w:pPr>
      <w:bookmarkStart w:id="9" w:name="_Toc57478806"/>
      <w:bookmarkStart w:id="10" w:name="_Toc170474517"/>
      <w:bookmarkEnd w:id="6"/>
      <w:bookmarkEnd w:id="7"/>
      <w:r w:rsidRPr="006D59D0">
        <w:rPr>
          <w:caps w:val="0"/>
        </w:rPr>
        <w:t>CELKOVÝ POPIS STAVBY</w:t>
      </w:r>
      <w:bookmarkEnd w:id="9"/>
      <w:bookmarkEnd w:id="10"/>
    </w:p>
    <w:p w:rsidR="00AF53A8" w:rsidRPr="0061785D" w:rsidRDefault="00AF53A8" w:rsidP="00307869">
      <w:pPr>
        <w:pStyle w:val="Nadpis4"/>
        <w:numPr>
          <w:ilvl w:val="0"/>
          <w:numId w:val="5"/>
        </w:numPr>
        <w:ind w:left="426" w:hanging="426"/>
      </w:pPr>
      <w:bookmarkStart w:id="11" w:name="_Toc505187573"/>
      <w:r w:rsidRPr="0061785D"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AF53A8" w:rsidRPr="0061785D" w:rsidRDefault="00AF53A8" w:rsidP="00AF1907">
      <w:pPr>
        <w:ind w:left="0"/>
      </w:pPr>
      <w:r w:rsidRPr="0061785D">
        <w:t xml:space="preserve">Jedná se </w:t>
      </w:r>
      <w:r w:rsidR="00AF1907" w:rsidRPr="0061785D">
        <w:t xml:space="preserve">o </w:t>
      </w:r>
      <w:r w:rsidR="006D59D0" w:rsidRPr="0061785D">
        <w:t>změnu dokončené stavby.</w:t>
      </w:r>
    </w:p>
    <w:p w:rsidR="00AF53A8" w:rsidRPr="0061785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61785D">
        <w:t>Účel užívání stavby</w:t>
      </w:r>
    </w:p>
    <w:p w:rsidR="00AB0298" w:rsidRPr="00A928A8" w:rsidRDefault="00AB0298" w:rsidP="00AB0298">
      <w:pPr>
        <w:ind w:left="0"/>
      </w:pPr>
      <w:r w:rsidRPr="00A928A8">
        <w:t>Stavba má jednoznačně pozitivní vliv na životní prostředí, protože po jejím dokončení se zvýší kvalita přepravy odpadních vod na ČOV</w:t>
      </w:r>
      <w:r w:rsidR="00230472">
        <w:t>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Trvalá nebo dočasná stavba</w:t>
      </w:r>
    </w:p>
    <w:p w:rsidR="00AF53A8" w:rsidRPr="008A2BDD" w:rsidRDefault="00AF53A8" w:rsidP="00ED44FC">
      <w:pPr>
        <w:ind w:left="0"/>
      </w:pPr>
      <w:r w:rsidRPr="008A2BDD">
        <w:t>Jedná se o trvalou stavbu.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Informace o vydaných rozhodnutích o povolení výjimky z technických požadavků na stavby a technických požadavků zabezpečujících bezbariérové užívání stavby</w:t>
      </w:r>
    </w:p>
    <w:p w:rsidR="00AF53A8" w:rsidRPr="008A2BDD" w:rsidRDefault="00AF53A8" w:rsidP="00ED44FC">
      <w:pPr>
        <w:ind w:left="0"/>
      </w:pPr>
      <w:r w:rsidRPr="008A2BDD">
        <w:t>Stavba nevyžaduje výjimku ani úlevu.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Informace o tom, zda a v jakých částech dokumentace jsou zohledněny podmínky závazných stanovisek dotčených orgánů</w:t>
      </w:r>
    </w:p>
    <w:p w:rsidR="00AF53A8" w:rsidRPr="008A2BDD" w:rsidRDefault="008A2BDD" w:rsidP="00ED44FC">
      <w:pPr>
        <w:ind w:left="0"/>
      </w:pPr>
      <w:r w:rsidRPr="008A2BDD">
        <w:t>Netýká se.</w:t>
      </w:r>
    </w:p>
    <w:p w:rsidR="00AF53A8" w:rsidRPr="008A2BDD" w:rsidRDefault="00AF53A8" w:rsidP="00307869">
      <w:pPr>
        <w:pStyle w:val="Nadpis4"/>
        <w:numPr>
          <w:ilvl w:val="0"/>
          <w:numId w:val="5"/>
        </w:numPr>
        <w:ind w:left="426" w:hanging="426"/>
      </w:pPr>
      <w:r w:rsidRPr="008A2BDD">
        <w:t>Ochrana stavby podle jiných právních předpisů</w:t>
      </w:r>
      <w:r w:rsidRPr="008A2BDD">
        <w:rPr>
          <w:vertAlign w:val="superscript"/>
        </w:rPr>
        <w:t>1)</w:t>
      </w:r>
    </w:p>
    <w:p w:rsidR="00AF53A8" w:rsidRPr="008A2BDD" w:rsidRDefault="00ED44FC" w:rsidP="00ED44FC">
      <w:pPr>
        <w:ind w:left="0"/>
      </w:pPr>
      <w:r w:rsidRPr="008A2BDD">
        <w:t>Netýká se.</w:t>
      </w:r>
    </w:p>
    <w:p w:rsidR="00AF53A8" w:rsidRPr="008A2BDD" w:rsidRDefault="00AF53A8" w:rsidP="00ED44FC">
      <w:pPr>
        <w:pStyle w:val="Nadpis4"/>
        <w:numPr>
          <w:ilvl w:val="0"/>
          <w:numId w:val="5"/>
        </w:numPr>
        <w:ind w:left="426" w:hanging="426"/>
      </w:pPr>
      <w:bookmarkStart w:id="12" w:name="_Toc505187572"/>
      <w:r w:rsidRPr="008A2BDD">
        <w:t>Navrhované parametry stavby – zastavěná plocha, obestavěný prostor, užitná plocha, počet funkčních jednotek a jejich velikosti apod.</w:t>
      </w:r>
      <w:bookmarkEnd w:id="12"/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230"/>
        <w:gridCol w:w="1417"/>
      </w:tblGrid>
      <w:tr w:rsidR="00211EB3" w:rsidRPr="00910A93" w:rsidTr="0007386B">
        <w:trPr>
          <w:trHeight w:val="368"/>
        </w:trPr>
        <w:tc>
          <w:tcPr>
            <w:tcW w:w="1134" w:type="dxa"/>
            <w:shd w:val="clear" w:color="auto" w:fill="D0CECE" w:themeFill="background2" w:themeFillShade="E6"/>
            <w:noWrap/>
            <w:vAlign w:val="center"/>
          </w:tcPr>
          <w:p w:rsidR="00211EB3" w:rsidRPr="004D2469" w:rsidRDefault="00211EB3" w:rsidP="00211EB3">
            <w:pPr>
              <w:spacing w:before="0" w:after="0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4D2469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7230" w:type="dxa"/>
            <w:shd w:val="clear" w:color="auto" w:fill="D0CECE" w:themeFill="background2" w:themeFillShade="E6"/>
            <w:noWrap/>
            <w:vAlign w:val="center"/>
          </w:tcPr>
          <w:p w:rsidR="00211EB3" w:rsidRPr="004D2469" w:rsidRDefault="00211EB3" w:rsidP="00211EB3">
            <w:pPr>
              <w:spacing w:before="0" w:after="0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4D2469">
              <w:rPr>
                <w:rFonts w:cs="Arial"/>
                <w:sz w:val="20"/>
                <w:szCs w:val="20"/>
              </w:rPr>
              <w:t>Název stavebního objektu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211EB3" w:rsidRPr="004D2469" w:rsidRDefault="00211EB3" w:rsidP="0007386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1EB3" w:rsidRPr="00CE78A6" w:rsidTr="0007386B">
        <w:trPr>
          <w:trHeight w:val="368"/>
        </w:trPr>
        <w:tc>
          <w:tcPr>
            <w:tcW w:w="1134" w:type="dxa"/>
            <w:shd w:val="clear" w:color="auto" w:fill="auto"/>
            <w:noWrap/>
            <w:vAlign w:val="center"/>
          </w:tcPr>
          <w:p w:rsidR="00211EB3" w:rsidRPr="00BC3F29" w:rsidRDefault="00211EB3" w:rsidP="0077312F">
            <w:pPr>
              <w:spacing w:before="0" w:after="0"/>
              <w:ind w:left="0"/>
              <w:jc w:val="right"/>
              <w:rPr>
                <w:rFonts w:cs="Arial"/>
                <w:b/>
                <w:sz w:val="20"/>
                <w:szCs w:val="20"/>
              </w:rPr>
            </w:pPr>
            <w:r w:rsidRPr="00BC3F29">
              <w:rPr>
                <w:rFonts w:cs="Arial"/>
                <w:b/>
                <w:sz w:val="20"/>
                <w:szCs w:val="20"/>
              </w:rPr>
              <w:t>310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:rsidR="00211EB3" w:rsidRPr="00BC3F29" w:rsidRDefault="00DC4C02" w:rsidP="00211EB3">
            <w:pPr>
              <w:spacing w:before="0" w:after="0"/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BC3F29">
              <w:rPr>
                <w:rFonts w:cs="Arial"/>
                <w:b/>
                <w:bCs/>
                <w:sz w:val="20"/>
                <w:szCs w:val="20"/>
              </w:rPr>
              <w:t>Kanalizace</w:t>
            </w:r>
          </w:p>
        </w:tc>
        <w:tc>
          <w:tcPr>
            <w:tcW w:w="1417" w:type="dxa"/>
            <w:vAlign w:val="center"/>
          </w:tcPr>
          <w:p w:rsidR="00211EB3" w:rsidRPr="00BC3F29" w:rsidRDefault="00211EB3" w:rsidP="0007386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04A6" w:rsidRPr="00CE78A6" w:rsidTr="0007386B">
        <w:trPr>
          <w:trHeight w:val="368"/>
        </w:trPr>
        <w:tc>
          <w:tcPr>
            <w:tcW w:w="1134" w:type="dxa"/>
            <w:shd w:val="clear" w:color="auto" w:fill="auto"/>
            <w:noWrap/>
            <w:vAlign w:val="center"/>
          </w:tcPr>
          <w:p w:rsidR="00AD04A6" w:rsidRPr="00BC3F29" w:rsidRDefault="00AD04A6" w:rsidP="00AD04A6">
            <w:pPr>
              <w:spacing w:before="0" w:after="0"/>
              <w:ind w:left="0"/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noWrap/>
            <w:vAlign w:val="center"/>
          </w:tcPr>
          <w:p w:rsidR="00AD04A6" w:rsidRPr="00191166" w:rsidRDefault="00AD04A6" w:rsidP="00AD04A6">
            <w:pPr>
              <w:numPr>
                <w:ilvl w:val="0"/>
                <w:numId w:val="15"/>
              </w:numPr>
              <w:tabs>
                <w:tab w:val="clear" w:pos="720"/>
              </w:tabs>
              <w:spacing w:before="0" w:after="0"/>
              <w:ind w:left="355" w:hanging="246"/>
              <w:rPr>
                <w:rFonts w:cs="Arial"/>
                <w:sz w:val="20"/>
              </w:rPr>
            </w:pPr>
            <w:r w:rsidRPr="00191166">
              <w:rPr>
                <w:rFonts w:cs="Arial"/>
                <w:sz w:val="20"/>
              </w:rPr>
              <w:t>stoka DN 600/900 z vejčitých železobetonových trub s čedičovým žlábkem</w:t>
            </w:r>
          </w:p>
        </w:tc>
        <w:tc>
          <w:tcPr>
            <w:tcW w:w="1417" w:type="dxa"/>
            <w:vAlign w:val="center"/>
          </w:tcPr>
          <w:p w:rsidR="00AD04A6" w:rsidRPr="00191166" w:rsidRDefault="00AD04A6" w:rsidP="00AD04A6">
            <w:pPr>
              <w:spacing w:before="0" w:after="0"/>
              <w:ind w:left="109"/>
              <w:jc w:val="right"/>
              <w:rPr>
                <w:rFonts w:cs="Arial"/>
                <w:sz w:val="20"/>
              </w:rPr>
            </w:pPr>
            <w:r w:rsidRPr="00191166">
              <w:rPr>
                <w:rFonts w:cs="Arial"/>
                <w:sz w:val="20"/>
              </w:rPr>
              <w:t>141,0 m</w:t>
            </w:r>
          </w:p>
        </w:tc>
      </w:tr>
    </w:tbl>
    <w:p w:rsidR="00C33746" w:rsidRDefault="00C33746" w:rsidP="00C33746">
      <w:pPr>
        <w:pStyle w:val="Nadpis4"/>
        <w:numPr>
          <w:ilvl w:val="0"/>
          <w:numId w:val="0"/>
        </w:numPr>
        <w:ind w:left="426"/>
      </w:pPr>
    </w:p>
    <w:p w:rsidR="00AF53A8" w:rsidRPr="00D93952" w:rsidRDefault="00AF53A8" w:rsidP="00C33746">
      <w:pPr>
        <w:pStyle w:val="Nadpis4"/>
        <w:numPr>
          <w:ilvl w:val="0"/>
          <w:numId w:val="5"/>
        </w:numPr>
        <w:ind w:left="426" w:hanging="426"/>
      </w:pPr>
      <w:r w:rsidRPr="00D93952">
        <w:t>Základní bilance stavby – potřeby a spotřeby médií a hmot, hospodaření s dešťovou vodou, celkové produkované množství a druhy odpadů a emisí, třída energetické náročnosti budov apod.</w:t>
      </w:r>
      <w:bookmarkEnd w:id="11"/>
    </w:p>
    <w:p w:rsidR="00AF53A8" w:rsidRPr="00D93952" w:rsidRDefault="00ED44FC" w:rsidP="00ED44FC">
      <w:pPr>
        <w:ind w:left="0"/>
      </w:pPr>
      <w:r w:rsidRPr="00D93952">
        <w:t>Netýká se.</w:t>
      </w:r>
    </w:p>
    <w:p w:rsidR="00AF53A8" w:rsidRPr="00D93952" w:rsidRDefault="00AF53A8" w:rsidP="00ED44FC">
      <w:pPr>
        <w:pStyle w:val="Nadpis4"/>
        <w:numPr>
          <w:ilvl w:val="0"/>
          <w:numId w:val="5"/>
        </w:numPr>
        <w:ind w:left="426" w:hanging="426"/>
      </w:pPr>
      <w:bookmarkStart w:id="13" w:name="_Toc505187574"/>
      <w:r w:rsidRPr="00D93952">
        <w:t>Základní předpoklady výstavby – časové údaje o realizaci stavby</w:t>
      </w:r>
      <w:r w:rsidR="00307869" w:rsidRPr="00D93952">
        <w:t>,</w:t>
      </w:r>
      <w:r w:rsidRPr="00D93952">
        <w:t xml:space="preserve"> členění na etapy</w:t>
      </w:r>
      <w:bookmarkEnd w:id="13"/>
      <w:r w:rsidR="00C33746">
        <w:t>.</w:t>
      </w:r>
    </w:p>
    <w:p w:rsidR="00D40660" w:rsidRPr="0009575F" w:rsidRDefault="00F10CFB" w:rsidP="00F10CFB">
      <w:pPr>
        <w:ind w:left="0"/>
      </w:pPr>
      <w:bookmarkStart w:id="14" w:name="_Toc505187575"/>
      <w:r w:rsidRPr="0009575F">
        <w:t xml:space="preserve">Stavba bude realizována </w:t>
      </w:r>
      <w:r w:rsidR="00D40660" w:rsidRPr="0009575F">
        <w:t xml:space="preserve">v lehkém předstihu se stavbou </w:t>
      </w:r>
      <w:r w:rsidR="0009575F" w:rsidRPr="0009575F">
        <w:t>„</w:t>
      </w:r>
      <w:r w:rsidR="0009575F">
        <w:t>Domov pro seniory Brno, Nopova“</w:t>
      </w:r>
      <w:r w:rsidR="0009575F" w:rsidRPr="0009575F">
        <w:t xml:space="preserve"> </w:t>
      </w:r>
      <w:r w:rsidR="0009575F" w:rsidRPr="00E86FCD">
        <w:t>jež připravuje DS Nopova s.r.o.</w:t>
      </w:r>
    </w:p>
    <w:p w:rsidR="00E8607C" w:rsidRPr="0009575F" w:rsidRDefault="00E8607C" w:rsidP="00E8607C">
      <w:pPr>
        <w:pStyle w:val="Odstavecseseznamem"/>
        <w:numPr>
          <w:ilvl w:val="0"/>
          <w:numId w:val="26"/>
        </w:numPr>
        <w:ind w:left="426" w:hanging="426"/>
        <w:rPr>
          <w:u w:val="single"/>
        </w:rPr>
      </w:pPr>
      <w:r w:rsidRPr="0009575F">
        <w:rPr>
          <w:u w:val="single"/>
        </w:rPr>
        <w:t>LHŮTY VÝSTAVBY</w:t>
      </w:r>
    </w:p>
    <w:p w:rsidR="00E8607C" w:rsidRPr="0009575F" w:rsidRDefault="00E8607C" w:rsidP="00E8607C">
      <w:pPr>
        <w:ind w:left="0"/>
      </w:pPr>
      <w:r w:rsidRPr="0009575F">
        <w:t>Harmonogram výstavby je závislý na tom, kdo bude stavbu provádět a s jakým technologickým vybavením. Zhotovitel stavby bude určen na základě výběrového řízení.</w:t>
      </w:r>
    </w:p>
    <w:p w:rsidR="0009575F" w:rsidRPr="0009575F" w:rsidRDefault="0009575F" w:rsidP="004A1999">
      <w:pPr>
        <w:ind w:left="0"/>
      </w:pPr>
      <w:r w:rsidRPr="0009575F">
        <w:t>Předpokládaný začátek demoličních prací stávajícího objektu domova pro seniory je 4Q/2025 a v 1Q/2026 pak bude zahájena realizace nové stavby s dokončením 3Q/2027.</w:t>
      </w:r>
    </w:p>
    <w:p w:rsidR="00E8607C" w:rsidRPr="0009575F" w:rsidRDefault="00E8607C" w:rsidP="00E8607C">
      <w:pPr>
        <w:pStyle w:val="Odstavecseseznamem"/>
        <w:numPr>
          <w:ilvl w:val="0"/>
          <w:numId w:val="26"/>
        </w:numPr>
        <w:ind w:left="426" w:hanging="426"/>
        <w:rPr>
          <w:u w:val="single"/>
        </w:rPr>
      </w:pPr>
      <w:r w:rsidRPr="0009575F">
        <w:rPr>
          <w:u w:val="single"/>
        </w:rPr>
        <w:t>ČASOVÝ POSTUP VÝSTAVBY</w:t>
      </w:r>
    </w:p>
    <w:p w:rsidR="00E8607C" w:rsidRPr="009C0AE8" w:rsidRDefault="00E8607C" w:rsidP="00FD0178">
      <w:pPr>
        <w:ind w:left="0"/>
      </w:pPr>
      <w:r w:rsidRPr="009C0AE8">
        <w:t xml:space="preserve">Vzhledem k tomu, že zhotovitel stavby není znám, jsou činnosti v postupu výstavby vymezeny v hrubých rysech. </w:t>
      </w:r>
      <w:r w:rsidR="00FD0178" w:rsidRPr="009C0AE8">
        <w:t xml:space="preserve">Po dobu stavby </w:t>
      </w:r>
      <w:r w:rsidR="0009575F" w:rsidRPr="009C0AE8">
        <w:t xml:space="preserve">drobné rekonstrukce kanalizace bude ponechán vjezd z ul. Nopovy do areálu domova pro seniory. </w:t>
      </w:r>
    </w:p>
    <w:p w:rsidR="009C0AE8" w:rsidRPr="009C0AE8" w:rsidRDefault="009C0AE8" w:rsidP="009C0AE8">
      <w:pPr>
        <w:numPr>
          <w:ilvl w:val="0"/>
          <w:numId w:val="29"/>
        </w:numPr>
      </w:pPr>
      <w:r w:rsidRPr="009C0AE8">
        <w:t>Bude vytěžena těžní jáma TJ1, z které se bude provádět ražba štoly směrem ke stávající šachtě Š63437.</w:t>
      </w:r>
    </w:p>
    <w:p w:rsidR="009C0AE8" w:rsidRPr="009C0AE8" w:rsidRDefault="009C0AE8" w:rsidP="009C0AE8">
      <w:pPr>
        <w:numPr>
          <w:ilvl w:val="0"/>
          <w:numId w:val="29"/>
        </w:numPr>
      </w:pPr>
      <w:r w:rsidRPr="009C0AE8">
        <w:t>Zkompletování stoky profilu DN 600/900 od stávající šachty Š63437 až po těžní jámu TJ1.</w:t>
      </w:r>
    </w:p>
    <w:p w:rsidR="00FD0178" w:rsidRPr="009C0AE8" w:rsidRDefault="00FD0178" w:rsidP="009C0AE8">
      <w:pPr>
        <w:numPr>
          <w:ilvl w:val="0"/>
          <w:numId w:val="29"/>
        </w:numPr>
      </w:pPr>
      <w:r w:rsidRPr="009C0AE8">
        <w:t xml:space="preserve">Provedení </w:t>
      </w:r>
      <w:r w:rsidR="009C0AE8" w:rsidRPr="009C0AE8">
        <w:t>rekonstrukce stoky v otevřeném výkopu od těžní jámy TJ1 až po stávající šachtu Š63119.</w:t>
      </w:r>
    </w:p>
    <w:p w:rsidR="004A1999" w:rsidRPr="009C0AE8" w:rsidRDefault="009C0AE8" w:rsidP="009C0AE8">
      <w:pPr>
        <w:pStyle w:val="Odstavecseseznamem"/>
        <w:numPr>
          <w:ilvl w:val="0"/>
          <w:numId w:val="29"/>
        </w:numPr>
        <w:spacing w:before="240"/>
        <w:ind w:left="425" w:hanging="425"/>
        <w:contextualSpacing w:val="0"/>
      </w:pPr>
      <w:r w:rsidRPr="009C0AE8">
        <w:t>Provedení zpětné obnovy povrchů.</w:t>
      </w:r>
    </w:p>
    <w:p w:rsidR="004A1999" w:rsidRPr="004A1999" w:rsidRDefault="004A1999" w:rsidP="004A1999">
      <w:pPr>
        <w:pStyle w:val="Odstavecseseznamem"/>
        <w:numPr>
          <w:ilvl w:val="0"/>
          <w:numId w:val="26"/>
        </w:numPr>
        <w:ind w:left="426" w:hanging="426"/>
        <w:rPr>
          <w:u w:val="single"/>
        </w:rPr>
      </w:pPr>
      <w:r w:rsidRPr="004A1999">
        <w:rPr>
          <w:u w:val="single"/>
        </w:rPr>
        <w:t>ZABEZPEČENÍ PROVOZU PO DOBU VÝSTAVBY</w:t>
      </w:r>
    </w:p>
    <w:p w:rsidR="004A1999" w:rsidRPr="0016028E" w:rsidRDefault="004A1999" w:rsidP="004A1999">
      <w:pPr>
        <w:ind w:left="0"/>
      </w:pPr>
      <w:r w:rsidRPr="0016028E">
        <w:t>Po dobu stavby musí být zajištěn přístup k nemovitostem, a to dle § 24 zákona č. 13/1997 Sb., o pozemních komunikacích, ve znění pozdějších předpisů. Dále musí být také zajištěn příjezd a výjezd pro vozidla IZS a musí být umožněn svoz komunálního odpadu.</w:t>
      </w:r>
    </w:p>
    <w:p w:rsidR="004A1999" w:rsidRPr="0016028E" w:rsidRDefault="004A1999" w:rsidP="004A1999">
      <w:pPr>
        <w:ind w:left="0"/>
      </w:pPr>
      <w:r w:rsidRPr="0016028E">
        <w:t>Zabráním staveniště se ovlivní pohyb chodců, paraplegiků a cyklistů. Výkopy budou opatřeny lávkami (ocelovými nebo dřevěnými) minimální šířky 1,5 m s pevným zábradlím. Provoz chodců musí stavba zajistit v duchu nařízení vlády č. 591/2006 Sb.</w:t>
      </w:r>
    </w:p>
    <w:p w:rsidR="00AF53A8" w:rsidRPr="00D93952" w:rsidRDefault="00AF53A8" w:rsidP="00ED44FC">
      <w:pPr>
        <w:pStyle w:val="Nadpis4"/>
        <w:numPr>
          <w:ilvl w:val="0"/>
          <w:numId w:val="5"/>
        </w:numPr>
        <w:ind w:left="426" w:hanging="426"/>
      </w:pPr>
      <w:r w:rsidRPr="00D93952">
        <w:t>Orientační náklady stavby</w:t>
      </w:r>
      <w:bookmarkEnd w:id="14"/>
      <w:r w:rsidRPr="00D93952">
        <w:t>.</w:t>
      </w:r>
    </w:p>
    <w:p w:rsidR="00ED44FC" w:rsidRDefault="00ED44FC" w:rsidP="00A6541F">
      <w:pPr>
        <w:ind w:left="0"/>
      </w:pPr>
      <w:r w:rsidRPr="00D93952">
        <w:t>Informace o nákladech stavby jsou uvedeny v samostatné příloze pro potřebu investora.</w:t>
      </w:r>
    </w:p>
    <w:p w:rsidR="006A0DC7" w:rsidRDefault="006A0DC7" w:rsidP="006A0DC7">
      <w:pPr>
        <w:ind w:left="0"/>
      </w:pPr>
    </w:p>
    <w:p w:rsidR="00D3695B" w:rsidRPr="009E4E02" w:rsidRDefault="00D3695B" w:rsidP="00F96C38">
      <w:pPr>
        <w:ind w:hanging="851"/>
      </w:pPr>
    </w:p>
    <w:p w:rsidR="00D3695B" w:rsidRPr="009E4E02" w:rsidRDefault="00D3695B" w:rsidP="00F96C38">
      <w:pPr>
        <w:ind w:hanging="851"/>
      </w:pPr>
    </w:p>
    <w:p w:rsidR="006A0DC7" w:rsidRPr="0009575F" w:rsidRDefault="00314EF6" w:rsidP="0009575F">
      <w:pPr>
        <w:ind w:left="0"/>
        <w:rPr>
          <w:color w:val="FF0000"/>
        </w:rPr>
      </w:pPr>
      <w:r w:rsidRPr="00314EF6">
        <w:rPr>
          <w:color w:val="FF0000"/>
        </w:rPr>
        <w:br/>
      </w:r>
      <w:r w:rsidR="00F96C38" w:rsidRPr="009E4E02">
        <w:t xml:space="preserve">V Brně, </w:t>
      </w:r>
      <w:r w:rsidR="00B77D53">
        <w:t>září</w:t>
      </w:r>
      <w:r w:rsidR="009B3D22">
        <w:t xml:space="preserve"> </w:t>
      </w:r>
      <w:r w:rsidR="00F96C38" w:rsidRPr="009E4E02">
        <w:t>202</w:t>
      </w:r>
      <w:r w:rsidR="00DC4C02">
        <w:t>4</w:t>
      </w:r>
      <w:r w:rsidR="009D7E19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060AE4">
        <w:tab/>
      </w:r>
      <w:r w:rsidR="005267EB">
        <w:t xml:space="preserve">  </w:t>
      </w:r>
      <w:r w:rsidR="00777282">
        <w:t xml:space="preserve">           </w:t>
      </w:r>
      <w:r w:rsidR="00060AE4">
        <w:t xml:space="preserve"> </w:t>
      </w:r>
      <w:r w:rsidR="00F96C38" w:rsidRPr="009E4E02">
        <w:t xml:space="preserve">Ing. </w:t>
      </w:r>
      <w:r w:rsidR="00A95EF4">
        <w:t>Tomáš Frajt</w:t>
      </w:r>
    </w:p>
    <w:sectPr w:rsidR="006A0DC7" w:rsidRPr="0009575F" w:rsidSect="0062348E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5F4" w:rsidRDefault="007D15F4" w:rsidP="00AF53A8">
      <w:pPr>
        <w:spacing w:after="0"/>
      </w:pPr>
      <w:r>
        <w:separator/>
      </w:r>
    </w:p>
  </w:endnote>
  <w:endnote w:type="continuationSeparator" w:id="0">
    <w:p w:rsidR="007D15F4" w:rsidRDefault="007D15F4" w:rsidP="00AF5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19F" w:rsidRDefault="0057519F" w:rsidP="009F6B39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57519F" w:rsidRDefault="0057519F" w:rsidP="00C171B0">
    <w:pPr>
      <w:pStyle w:val="Zpat"/>
      <w:spacing w:before="60"/>
    </w:pPr>
    <w:r w:rsidRPr="002F2E08">
      <w:rPr>
        <w:rFonts w:cs="Arial"/>
        <w:caps w:val="0"/>
        <w:sz w:val="20"/>
        <w:szCs w:val="20"/>
      </w:rPr>
      <w:t>P</w:t>
    </w:r>
    <w:r w:rsidR="00DC4C02">
      <w:rPr>
        <w:rFonts w:cs="Arial"/>
        <w:caps w:val="0"/>
        <w:sz w:val="20"/>
        <w:szCs w:val="20"/>
      </w:rPr>
      <w:t xml:space="preserve">K FRAJT </w:t>
    </w:r>
    <w:r>
      <w:rPr>
        <w:rFonts w:cs="Arial"/>
        <w:caps w:val="0"/>
        <w:sz w:val="20"/>
        <w:szCs w:val="20"/>
      </w:rPr>
      <w:t>s.r.o.</w:t>
    </w:r>
    <w:r w:rsidRPr="002B2B13">
      <w:tab/>
    </w:r>
    <w:r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 w:rsidRPr="002B2B13">
      <w:t>/</w:t>
    </w:r>
    <w:fldSimple w:instr=" NUMPAGES   \* MERGEFORMAT ">
      <w: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5F4" w:rsidRDefault="007D15F4" w:rsidP="00AF53A8">
      <w:pPr>
        <w:spacing w:after="0"/>
      </w:pPr>
      <w:r>
        <w:separator/>
      </w:r>
    </w:p>
  </w:footnote>
  <w:footnote w:type="continuationSeparator" w:id="0">
    <w:p w:rsidR="007D15F4" w:rsidRDefault="007D15F4" w:rsidP="00AF5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47A" w:rsidRDefault="00A741A6" w:rsidP="00F1647A">
    <w:pPr>
      <w:spacing w:after="60"/>
      <w:ind w:left="0"/>
      <w:rPr>
        <w:rFonts w:cs="Arial"/>
        <w:sz w:val="20"/>
        <w:szCs w:val="20"/>
      </w:rPr>
    </w:pPr>
    <w:bookmarkStart w:id="15" w:name="_Hlk57479918"/>
    <w:bookmarkStart w:id="16" w:name="_Hlk57479934"/>
    <w:r>
      <w:rPr>
        <w:noProof/>
      </w:rPr>
      <w:drawing>
        <wp:anchor distT="0" distB="0" distL="114300" distR="114300" simplePos="0" relativeHeight="251658240" behindDoc="1" locked="0" layoutInCell="1" allowOverlap="1" wp14:anchorId="06004E0A">
          <wp:simplePos x="0" y="0"/>
          <wp:positionH relativeFrom="column">
            <wp:posOffset>5133975</wp:posOffset>
          </wp:positionH>
          <wp:positionV relativeFrom="paragraph">
            <wp:posOffset>-135890</wp:posOffset>
          </wp:positionV>
          <wp:extent cx="1079500" cy="539750"/>
          <wp:effectExtent l="0" t="0" r="6350" b="0"/>
          <wp:wrapTight wrapText="bothSides">
            <wp:wrapPolygon edited="0">
              <wp:start x="0" y="0"/>
              <wp:lineTo x="0" y="20584"/>
              <wp:lineTo x="21346" y="20584"/>
              <wp:lineTo x="21346" y="0"/>
              <wp:lineTo x="0" y="0"/>
            </wp:wrapPolygon>
          </wp:wrapTight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647A">
      <w:rPr>
        <w:rFonts w:cs="Arial"/>
        <w:sz w:val="20"/>
        <w:szCs w:val="20"/>
      </w:rPr>
      <w:t>Brno, Nopova – drobná rekonstrukce kanalizace</w:t>
    </w:r>
  </w:p>
  <w:p w:rsidR="0057519F" w:rsidRPr="00F1647A" w:rsidRDefault="00F1647A" w:rsidP="00F1647A">
    <w:pPr>
      <w:pStyle w:val="Zhlav"/>
      <w:tabs>
        <w:tab w:val="clear" w:pos="9072"/>
        <w:tab w:val="right" w:pos="7920"/>
      </w:tabs>
      <w:spacing w:before="60" w:after="120"/>
      <w:ind w:left="0" w:right="1537"/>
      <w:rPr>
        <w:rFonts w:cs="Arial"/>
        <w:b/>
        <w:bCs/>
        <w:sz w:val="20"/>
        <w:szCs w:val="20"/>
      </w:rPr>
    </w:pPr>
    <w:r w:rsidRPr="00F1647A">
      <w:rPr>
        <w:rFonts w:cs="Arial"/>
        <w:sz w:val="20"/>
        <w:szCs w:val="20"/>
      </w:rPr>
      <w:t>B. Souhrnná technická zpráva</w:t>
    </w:r>
    <w:r w:rsidR="0057519F" w:rsidRPr="00F1647A">
      <w:rPr>
        <w:rFonts w:cs="Arial"/>
        <w:b/>
        <w:sz w:val="18"/>
        <w:szCs w:val="18"/>
      </w:rPr>
      <w:tab/>
    </w:r>
    <w:r w:rsidR="0057519F" w:rsidRPr="00F1647A">
      <w:rPr>
        <w:rFonts w:cs="Arial"/>
        <w:b/>
        <w:sz w:val="18"/>
        <w:szCs w:val="18"/>
      </w:rPr>
      <w:tab/>
    </w:r>
  </w:p>
  <w:bookmarkEnd w:id="15"/>
  <w:bookmarkEnd w:id="16"/>
  <w:p w:rsidR="0057519F" w:rsidRPr="00C171B0" w:rsidRDefault="0057519F" w:rsidP="00C171B0">
    <w:pPr>
      <w:pStyle w:val="Zhlav-doln"/>
      <w:pBdr>
        <w:top w:val="single" w:sz="4" w:space="0" w:color="auto"/>
      </w:pBdr>
      <w:spacing w:before="0" w:after="120"/>
      <w:ind w:firstLine="0"/>
      <w:rPr>
        <w:iCs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1C59"/>
    <w:multiLevelType w:val="hybridMultilevel"/>
    <w:tmpl w:val="5BC02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41001"/>
    <w:multiLevelType w:val="hybridMultilevel"/>
    <w:tmpl w:val="321E02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473B9"/>
    <w:multiLevelType w:val="hybridMultilevel"/>
    <w:tmpl w:val="C5782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2EB0F76"/>
    <w:multiLevelType w:val="hybridMultilevel"/>
    <w:tmpl w:val="A04AA642"/>
    <w:lvl w:ilvl="0" w:tplc="EBBAF2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A55F2"/>
    <w:multiLevelType w:val="multilevel"/>
    <w:tmpl w:val="DE8E66F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866D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8C331E"/>
    <w:multiLevelType w:val="hybridMultilevel"/>
    <w:tmpl w:val="7A626C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D5AAE"/>
    <w:multiLevelType w:val="hybridMultilevel"/>
    <w:tmpl w:val="2460C5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D0D47"/>
    <w:multiLevelType w:val="hybridMultilevel"/>
    <w:tmpl w:val="0C00C012"/>
    <w:lvl w:ilvl="0" w:tplc="EBBAF2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263F3"/>
    <w:multiLevelType w:val="hybridMultilevel"/>
    <w:tmpl w:val="47B2E77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8E369A"/>
    <w:multiLevelType w:val="hybridMultilevel"/>
    <w:tmpl w:val="FDECF5E2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1760DE"/>
    <w:multiLevelType w:val="hybridMultilevel"/>
    <w:tmpl w:val="CAFA6872"/>
    <w:lvl w:ilvl="0" w:tplc="39B091A0">
      <w:start w:val="1"/>
      <w:numFmt w:val="lowerLetter"/>
      <w:pStyle w:val="TZ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D3A08"/>
    <w:multiLevelType w:val="hybridMultilevel"/>
    <w:tmpl w:val="466C2460"/>
    <w:lvl w:ilvl="0" w:tplc="39B091A0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D544B21"/>
    <w:multiLevelType w:val="hybridMultilevel"/>
    <w:tmpl w:val="923472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F2FA56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00817"/>
    <w:multiLevelType w:val="multilevel"/>
    <w:tmpl w:val="F6B2C38E"/>
    <w:lvl w:ilvl="0">
      <w:start w:val="2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12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0"/>
  </w:num>
  <w:num w:numId="14">
    <w:abstractNumId w:val="8"/>
  </w:num>
  <w:num w:numId="15">
    <w:abstractNumId w:val="9"/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15"/>
  </w:num>
  <w:num w:numId="23">
    <w:abstractNumId w:val="14"/>
  </w:num>
  <w:num w:numId="24">
    <w:abstractNumId w:val="3"/>
  </w:num>
  <w:num w:numId="25">
    <w:abstractNumId w:val="3"/>
  </w:num>
  <w:num w:numId="26">
    <w:abstractNumId w:val="1"/>
  </w:num>
  <w:num w:numId="27">
    <w:abstractNumId w:val="2"/>
  </w:num>
  <w:num w:numId="28">
    <w:abstractNumId w:val="6"/>
  </w:num>
  <w:num w:numId="29">
    <w:abstractNumId w:val="5"/>
  </w:num>
  <w:num w:numId="30">
    <w:abstractNumId w:val="0"/>
  </w:num>
  <w:num w:numId="31">
    <w:abstractNumId w:val="7"/>
  </w:num>
  <w:num w:numId="32">
    <w:abstractNumId w:val="4"/>
  </w:num>
  <w:num w:numId="33">
    <w:abstractNumId w:val="11"/>
  </w:num>
  <w:num w:numId="3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A8"/>
    <w:rsid w:val="00005960"/>
    <w:rsid w:val="00027470"/>
    <w:rsid w:val="00027975"/>
    <w:rsid w:val="00027F0A"/>
    <w:rsid w:val="000337EA"/>
    <w:rsid w:val="000428C1"/>
    <w:rsid w:val="00051F8C"/>
    <w:rsid w:val="00060AE4"/>
    <w:rsid w:val="000711DD"/>
    <w:rsid w:val="0007386B"/>
    <w:rsid w:val="0007599C"/>
    <w:rsid w:val="0008274E"/>
    <w:rsid w:val="00082AD4"/>
    <w:rsid w:val="00084FDD"/>
    <w:rsid w:val="00085405"/>
    <w:rsid w:val="00094A2E"/>
    <w:rsid w:val="0009575F"/>
    <w:rsid w:val="000963A0"/>
    <w:rsid w:val="000A3C97"/>
    <w:rsid w:val="000B17E1"/>
    <w:rsid w:val="000C2BB6"/>
    <w:rsid w:val="000C5BE4"/>
    <w:rsid w:val="000D1D0F"/>
    <w:rsid w:val="000D613D"/>
    <w:rsid w:val="000D64B2"/>
    <w:rsid w:val="00101B9C"/>
    <w:rsid w:val="00112CA3"/>
    <w:rsid w:val="00136CCB"/>
    <w:rsid w:val="001513D3"/>
    <w:rsid w:val="0015304B"/>
    <w:rsid w:val="00176173"/>
    <w:rsid w:val="00176E09"/>
    <w:rsid w:val="00183D99"/>
    <w:rsid w:val="0019420D"/>
    <w:rsid w:val="001A0E7B"/>
    <w:rsid w:val="001A46DE"/>
    <w:rsid w:val="001B5691"/>
    <w:rsid w:val="001C487F"/>
    <w:rsid w:val="001C51EA"/>
    <w:rsid w:val="001C607C"/>
    <w:rsid w:val="001D3943"/>
    <w:rsid w:val="001D4DB0"/>
    <w:rsid w:val="001E03F6"/>
    <w:rsid w:val="001E4E67"/>
    <w:rsid w:val="001F23F5"/>
    <w:rsid w:val="00211EB3"/>
    <w:rsid w:val="00220412"/>
    <w:rsid w:val="00220E94"/>
    <w:rsid w:val="00230472"/>
    <w:rsid w:val="00241018"/>
    <w:rsid w:val="00243775"/>
    <w:rsid w:val="0024677A"/>
    <w:rsid w:val="00254C47"/>
    <w:rsid w:val="00263B92"/>
    <w:rsid w:val="002808B4"/>
    <w:rsid w:val="0028486B"/>
    <w:rsid w:val="00295A59"/>
    <w:rsid w:val="002A32AF"/>
    <w:rsid w:val="002A498C"/>
    <w:rsid w:val="002A6E5C"/>
    <w:rsid w:val="002B1C5C"/>
    <w:rsid w:val="002B3B03"/>
    <w:rsid w:val="002D0C22"/>
    <w:rsid w:val="002D5F79"/>
    <w:rsid w:val="002D7CE9"/>
    <w:rsid w:val="002E6EA0"/>
    <w:rsid w:val="00306C44"/>
    <w:rsid w:val="00307869"/>
    <w:rsid w:val="0031168D"/>
    <w:rsid w:val="00314EF6"/>
    <w:rsid w:val="00343B09"/>
    <w:rsid w:val="00364BE6"/>
    <w:rsid w:val="003739E2"/>
    <w:rsid w:val="0037629B"/>
    <w:rsid w:val="00380AE1"/>
    <w:rsid w:val="003922D7"/>
    <w:rsid w:val="003A095D"/>
    <w:rsid w:val="003B2449"/>
    <w:rsid w:val="003B5EFE"/>
    <w:rsid w:val="003F6B3A"/>
    <w:rsid w:val="0040200F"/>
    <w:rsid w:val="00410CD1"/>
    <w:rsid w:val="00420A13"/>
    <w:rsid w:val="00433F4C"/>
    <w:rsid w:val="00444398"/>
    <w:rsid w:val="0044708D"/>
    <w:rsid w:val="0045056E"/>
    <w:rsid w:val="00454F8D"/>
    <w:rsid w:val="00460682"/>
    <w:rsid w:val="004638C3"/>
    <w:rsid w:val="00471125"/>
    <w:rsid w:val="004856ED"/>
    <w:rsid w:val="00490D3B"/>
    <w:rsid w:val="004934F0"/>
    <w:rsid w:val="00495A8F"/>
    <w:rsid w:val="004A1999"/>
    <w:rsid w:val="004A37C4"/>
    <w:rsid w:val="004B38B0"/>
    <w:rsid w:val="004B3B57"/>
    <w:rsid w:val="004B4241"/>
    <w:rsid w:val="004C36BB"/>
    <w:rsid w:val="004D2469"/>
    <w:rsid w:val="004D25F3"/>
    <w:rsid w:val="004D3FA1"/>
    <w:rsid w:val="004D71E5"/>
    <w:rsid w:val="004E469F"/>
    <w:rsid w:val="00500055"/>
    <w:rsid w:val="005055A0"/>
    <w:rsid w:val="0051403F"/>
    <w:rsid w:val="00515667"/>
    <w:rsid w:val="00525F7D"/>
    <w:rsid w:val="005267EB"/>
    <w:rsid w:val="00537F8D"/>
    <w:rsid w:val="00547577"/>
    <w:rsid w:val="00560BA0"/>
    <w:rsid w:val="0057519F"/>
    <w:rsid w:val="00577048"/>
    <w:rsid w:val="00581465"/>
    <w:rsid w:val="005914A9"/>
    <w:rsid w:val="00591A5C"/>
    <w:rsid w:val="00594F9E"/>
    <w:rsid w:val="0059627E"/>
    <w:rsid w:val="005A1A68"/>
    <w:rsid w:val="005C3351"/>
    <w:rsid w:val="005C355C"/>
    <w:rsid w:val="005C54CF"/>
    <w:rsid w:val="005D5305"/>
    <w:rsid w:val="005D7A40"/>
    <w:rsid w:val="005F0484"/>
    <w:rsid w:val="00604963"/>
    <w:rsid w:val="00610DAA"/>
    <w:rsid w:val="00610F4A"/>
    <w:rsid w:val="00611029"/>
    <w:rsid w:val="0061785D"/>
    <w:rsid w:val="006227E8"/>
    <w:rsid w:val="0062348E"/>
    <w:rsid w:val="006306D7"/>
    <w:rsid w:val="00641625"/>
    <w:rsid w:val="00656D70"/>
    <w:rsid w:val="00661553"/>
    <w:rsid w:val="006627CB"/>
    <w:rsid w:val="00662F21"/>
    <w:rsid w:val="006744B9"/>
    <w:rsid w:val="006A0331"/>
    <w:rsid w:val="006A0DC7"/>
    <w:rsid w:val="006A658B"/>
    <w:rsid w:val="006C4052"/>
    <w:rsid w:val="006C73FD"/>
    <w:rsid w:val="006D59D0"/>
    <w:rsid w:val="006D5CA3"/>
    <w:rsid w:val="006E093C"/>
    <w:rsid w:val="006E09FC"/>
    <w:rsid w:val="006E639F"/>
    <w:rsid w:val="00702060"/>
    <w:rsid w:val="007026FB"/>
    <w:rsid w:val="00721C29"/>
    <w:rsid w:val="00737F04"/>
    <w:rsid w:val="00747E9D"/>
    <w:rsid w:val="00753F4E"/>
    <w:rsid w:val="0077312F"/>
    <w:rsid w:val="00774CE9"/>
    <w:rsid w:val="00777282"/>
    <w:rsid w:val="00783BA5"/>
    <w:rsid w:val="007950BF"/>
    <w:rsid w:val="007A283C"/>
    <w:rsid w:val="007B6D8C"/>
    <w:rsid w:val="007B77CB"/>
    <w:rsid w:val="007C0033"/>
    <w:rsid w:val="007D15F4"/>
    <w:rsid w:val="007E7759"/>
    <w:rsid w:val="008039DE"/>
    <w:rsid w:val="00804E4F"/>
    <w:rsid w:val="008059EC"/>
    <w:rsid w:val="00833907"/>
    <w:rsid w:val="00834A43"/>
    <w:rsid w:val="00850D38"/>
    <w:rsid w:val="008568DA"/>
    <w:rsid w:val="00870FB9"/>
    <w:rsid w:val="00880E22"/>
    <w:rsid w:val="00881758"/>
    <w:rsid w:val="00893650"/>
    <w:rsid w:val="008A2BDD"/>
    <w:rsid w:val="008A3532"/>
    <w:rsid w:val="008A5C60"/>
    <w:rsid w:val="008D1D7E"/>
    <w:rsid w:val="008D3CD5"/>
    <w:rsid w:val="008E0554"/>
    <w:rsid w:val="008E354C"/>
    <w:rsid w:val="008F0854"/>
    <w:rsid w:val="008F0FB9"/>
    <w:rsid w:val="00900493"/>
    <w:rsid w:val="009036C1"/>
    <w:rsid w:val="0090405D"/>
    <w:rsid w:val="00912D4A"/>
    <w:rsid w:val="0091750C"/>
    <w:rsid w:val="009201DF"/>
    <w:rsid w:val="009306F3"/>
    <w:rsid w:val="009317A7"/>
    <w:rsid w:val="00931FF2"/>
    <w:rsid w:val="00932F55"/>
    <w:rsid w:val="00933E30"/>
    <w:rsid w:val="00954653"/>
    <w:rsid w:val="009557BC"/>
    <w:rsid w:val="0096046C"/>
    <w:rsid w:val="00960B6E"/>
    <w:rsid w:val="00970FA1"/>
    <w:rsid w:val="00973100"/>
    <w:rsid w:val="00973BD5"/>
    <w:rsid w:val="009747B7"/>
    <w:rsid w:val="00993373"/>
    <w:rsid w:val="009A0001"/>
    <w:rsid w:val="009A48B2"/>
    <w:rsid w:val="009A78E2"/>
    <w:rsid w:val="009B3D22"/>
    <w:rsid w:val="009C0AE8"/>
    <w:rsid w:val="009D4967"/>
    <w:rsid w:val="009D7E19"/>
    <w:rsid w:val="009E125A"/>
    <w:rsid w:val="009E445F"/>
    <w:rsid w:val="009E4E02"/>
    <w:rsid w:val="009E525B"/>
    <w:rsid w:val="009F6B39"/>
    <w:rsid w:val="00A07EF6"/>
    <w:rsid w:val="00A16E41"/>
    <w:rsid w:val="00A24121"/>
    <w:rsid w:val="00A47F39"/>
    <w:rsid w:val="00A515F1"/>
    <w:rsid w:val="00A632CA"/>
    <w:rsid w:val="00A6541F"/>
    <w:rsid w:val="00A6688E"/>
    <w:rsid w:val="00A6781A"/>
    <w:rsid w:val="00A728E7"/>
    <w:rsid w:val="00A741A6"/>
    <w:rsid w:val="00A869DC"/>
    <w:rsid w:val="00A95EF4"/>
    <w:rsid w:val="00AA7AFE"/>
    <w:rsid w:val="00AB0298"/>
    <w:rsid w:val="00AC5BC9"/>
    <w:rsid w:val="00AD04A6"/>
    <w:rsid w:val="00AD5C13"/>
    <w:rsid w:val="00AE13D7"/>
    <w:rsid w:val="00AE7661"/>
    <w:rsid w:val="00AF1907"/>
    <w:rsid w:val="00AF53A8"/>
    <w:rsid w:val="00B02E9B"/>
    <w:rsid w:val="00B05551"/>
    <w:rsid w:val="00B1207C"/>
    <w:rsid w:val="00B2390D"/>
    <w:rsid w:val="00B279D0"/>
    <w:rsid w:val="00B3138D"/>
    <w:rsid w:val="00B54433"/>
    <w:rsid w:val="00B71C76"/>
    <w:rsid w:val="00B77D53"/>
    <w:rsid w:val="00B86DA3"/>
    <w:rsid w:val="00B927B2"/>
    <w:rsid w:val="00B938E9"/>
    <w:rsid w:val="00BA3E8B"/>
    <w:rsid w:val="00BA787C"/>
    <w:rsid w:val="00BB0CA3"/>
    <w:rsid w:val="00BB7885"/>
    <w:rsid w:val="00BC3F29"/>
    <w:rsid w:val="00BD087A"/>
    <w:rsid w:val="00BF2ED0"/>
    <w:rsid w:val="00C0296C"/>
    <w:rsid w:val="00C16CE9"/>
    <w:rsid w:val="00C171B0"/>
    <w:rsid w:val="00C17D79"/>
    <w:rsid w:val="00C20F41"/>
    <w:rsid w:val="00C21130"/>
    <w:rsid w:val="00C260B3"/>
    <w:rsid w:val="00C26F32"/>
    <w:rsid w:val="00C33746"/>
    <w:rsid w:val="00C42E60"/>
    <w:rsid w:val="00C5584C"/>
    <w:rsid w:val="00C55EFC"/>
    <w:rsid w:val="00C64058"/>
    <w:rsid w:val="00C86801"/>
    <w:rsid w:val="00CA27C9"/>
    <w:rsid w:val="00CA352B"/>
    <w:rsid w:val="00CA44A8"/>
    <w:rsid w:val="00CA7392"/>
    <w:rsid w:val="00CC4791"/>
    <w:rsid w:val="00CC6469"/>
    <w:rsid w:val="00CC7A3C"/>
    <w:rsid w:val="00CD0091"/>
    <w:rsid w:val="00CE45F8"/>
    <w:rsid w:val="00CF0604"/>
    <w:rsid w:val="00CF11A2"/>
    <w:rsid w:val="00D20F20"/>
    <w:rsid w:val="00D34898"/>
    <w:rsid w:val="00D3695B"/>
    <w:rsid w:val="00D40660"/>
    <w:rsid w:val="00D40F89"/>
    <w:rsid w:val="00D42798"/>
    <w:rsid w:val="00D4485D"/>
    <w:rsid w:val="00D73BDF"/>
    <w:rsid w:val="00D8020E"/>
    <w:rsid w:val="00D84145"/>
    <w:rsid w:val="00D86C41"/>
    <w:rsid w:val="00D91526"/>
    <w:rsid w:val="00D93952"/>
    <w:rsid w:val="00D94058"/>
    <w:rsid w:val="00DB2317"/>
    <w:rsid w:val="00DC367F"/>
    <w:rsid w:val="00DC4C02"/>
    <w:rsid w:val="00DC696D"/>
    <w:rsid w:val="00DD5CE6"/>
    <w:rsid w:val="00DF25D3"/>
    <w:rsid w:val="00E06E4B"/>
    <w:rsid w:val="00E25675"/>
    <w:rsid w:val="00E265EF"/>
    <w:rsid w:val="00E6126F"/>
    <w:rsid w:val="00E65086"/>
    <w:rsid w:val="00E652E5"/>
    <w:rsid w:val="00E8080E"/>
    <w:rsid w:val="00E8607C"/>
    <w:rsid w:val="00E86D15"/>
    <w:rsid w:val="00E93268"/>
    <w:rsid w:val="00EA773C"/>
    <w:rsid w:val="00EB0CFA"/>
    <w:rsid w:val="00EB3EE9"/>
    <w:rsid w:val="00EC7861"/>
    <w:rsid w:val="00ED1DBF"/>
    <w:rsid w:val="00ED44FC"/>
    <w:rsid w:val="00ED7812"/>
    <w:rsid w:val="00F10CFB"/>
    <w:rsid w:val="00F1194D"/>
    <w:rsid w:val="00F1647A"/>
    <w:rsid w:val="00F33D11"/>
    <w:rsid w:val="00F3493B"/>
    <w:rsid w:val="00F35402"/>
    <w:rsid w:val="00F35991"/>
    <w:rsid w:val="00F50F33"/>
    <w:rsid w:val="00F638C0"/>
    <w:rsid w:val="00F717CE"/>
    <w:rsid w:val="00F76EE1"/>
    <w:rsid w:val="00F96C38"/>
    <w:rsid w:val="00FA6E8D"/>
    <w:rsid w:val="00FB0616"/>
    <w:rsid w:val="00FB3309"/>
    <w:rsid w:val="00FC121F"/>
    <w:rsid w:val="00FC1CF5"/>
    <w:rsid w:val="00FD0178"/>
    <w:rsid w:val="00FD42C3"/>
    <w:rsid w:val="00F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B852CF-1401-4A06-81D9-05D8C0F5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5CE6"/>
    <w:pPr>
      <w:spacing w:before="120" w:after="120" w:line="240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0337EA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73BD5"/>
    <w:pPr>
      <w:numPr>
        <w:ilvl w:val="1"/>
      </w:numPr>
      <w:spacing w:before="240" w:after="12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AF53A8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nhideWhenUsed/>
    <w:qFormat/>
    <w:rsid w:val="0015304B"/>
    <w:pPr>
      <w:numPr>
        <w:numId w:val="2"/>
      </w:numPr>
      <w:outlineLvl w:val="3"/>
    </w:pPr>
    <w:rPr>
      <w:b/>
    </w:rPr>
  </w:style>
  <w:style w:type="paragraph" w:styleId="Nadpis5">
    <w:name w:val="heading 5"/>
    <w:basedOn w:val="Bezmezer"/>
    <w:next w:val="Normln"/>
    <w:link w:val="Nadpis5Char"/>
    <w:unhideWhenUsed/>
    <w:qFormat/>
    <w:rsid w:val="00AF53A8"/>
    <w:pPr>
      <w:numPr>
        <w:numId w:val="3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37EA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73BD5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AF53A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Odstavecseseznamem">
    <w:name w:val="List Paragraph"/>
    <w:basedOn w:val="Normln"/>
    <w:uiPriority w:val="34"/>
    <w:qFormat/>
    <w:rsid w:val="00AF53A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15304B"/>
    <w:rPr>
      <w:rFonts w:ascii="Arial" w:hAnsi="Arial"/>
      <w:b/>
    </w:rPr>
  </w:style>
  <w:style w:type="paragraph" w:styleId="Bezmezer">
    <w:name w:val="No Spacing"/>
    <w:link w:val="BezmezerChar"/>
    <w:uiPriority w:val="1"/>
    <w:qFormat/>
    <w:rsid w:val="00AF53A8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AF53A8"/>
    <w:rPr>
      <w:rFonts w:ascii="Century Gothic" w:hAnsi="Century Gothic"/>
      <w:sz w:val="20"/>
    </w:rPr>
  </w:style>
  <w:style w:type="character" w:customStyle="1" w:styleId="Nadpis5Char">
    <w:name w:val="Nadpis 5 Char"/>
    <w:basedOn w:val="Standardnpsmoodstavce"/>
    <w:link w:val="Nadpis5"/>
    <w:rsid w:val="00AF53A8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Zhlav">
    <w:name w:val="header"/>
    <w:aliases w:val="Záhlaví - horní, Char"/>
    <w:basedOn w:val="Normln"/>
    <w:link w:val="ZhlavChar"/>
    <w:unhideWhenUsed/>
    <w:rsid w:val="00AF53A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AF53A8"/>
    <w:rPr>
      <w:rFonts w:ascii="Century Gothic" w:hAnsi="Century Gothic"/>
      <w:sz w:val="20"/>
    </w:rPr>
  </w:style>
  <w:style w:type="paragraph" w:styleId="Zpat">
    <w:name w:val="footer"/>
    <w:basedOn w:val="Normln"/>
    <w:link w:val="ZpatChar"/>
    <w:uiPriority w:val="99"/>
    <w:unhideWhenUsed/>
    <w:rsid w:val="00AF53A8"/>
    <w:pPr>
      <w:tabs>
        <w:tab w:val="center" w:pos="4536"/>
        <w:tab w:val="right" w:pos="9072"/>
      </w:tabs>
      <w:spacing w:after="0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AF53A8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AF53A8"/>
  </w:style>
  <w:style w:type="paragraph" w:styleId="Nzev">
    <w:name w:val="Title"/>
    <w:basedOn w:val="Nadpis1"/>
    <w:next w:val="Normln"/>
    <w:link w:val="NzevChar"/>
    <w:uiPriority w:val="10"/>
    <w:qFormat/>
    <w:rsid w:val="00AF53A8"/>
  </w:style>
  <w:style w:type="character" w:customStyle="1" w:styleId="NzevChar">
    <w:name w:val="Název Char"/>
    <w:basedOn w:val="Standardnpsmoodstavce"/>
    <w:link w:val="Nzev"/>
    <w:uiPriority w:val="10"/>
    <w:rsid w:val="00AF53A8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paragraph" w:styleId="Citt">
    <w:name w:val="Quote"/>
    <w:basedOn w:val="Normln"/>
    <w:next w:val="Normln"/>
    <w:link w:val="CittChar"/>
    <w:uiPriority w:val="29"/>
    <w:qFormat/>
    <w:rsid w:val="00AF53A8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F53A8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53A8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53A8"/>
    <w:rPr>
      <w:rFonts w:ascii="Century Gothic" w:hAnsi="Century Gothic"/>
      <w:i/>
      <w:color w:val="0070C0"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3A8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3A8"/>
    <w:pPr>
      <w:spacing w:after="0"/>
    </w:pPr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AF53A8"/>
    <w:pPr>
      <w:spacing w:after="0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qFormat/>
    <w:rsid w:val="00AF53A8"/>
    <w:pPr>
      <w:spacing w:after="0"/>
      <w:ind w:left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F53A8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AF53A8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AF53A8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AF53A8"/>
    <w:pPr>
      <w:spacing w:after="100"/>
      <w:ind w:left="400"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AF53A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3A8"/>
    <w:rPr>
      <w:rFonts w:ascii="Century Gothic" w:hAnsi="Century Gothic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3A8"/>
    <w:rPr>
      <w:rFonts w:ascii="Century Gothic" w:hAnsi="Century Gothic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3A8"/>
    <w:rPr>
      <w:b/>
      <w:bCs/>
    </w:rPr>
  </w:style>
  <w:style w:type="paragraph" w:customStyle="1" w:styleId="TZnadpis3">
    <w:name w:val="TZ nadpis3"/>
    <w:basedOn w:val="Normln"/>
    <w:rsid w:val="00AF53A8"/>
    <w:pPr>
      <w:widowControl w:val="0"/>
      <w:numPr>
        <w:numId w:val="4"/>
      </w:numPr>
      <w:suppressAutoHyphens/>
      <w:spacing w:before="57" w:after="57"/>
      <w:textAlignment w:val="baseline"/>
    </w:pPr>
    <w:rPr>
      <w:rFonts w:eastAsia="Arial Unicode MS" w:cs="Times New Roman"/>
      <w:kern w:val="1"/>
      <w:sz w:val="16"/>
      <w:szCs w:val="20"/>
      <w:lang w:eastAsia="ar-SA"/>
    </w:rPr>
  </w:style>
  <w:style w:type="paragraph" w:styleId="Zkladntext">
    <w:name w:val="Body Text"/>
    <w:basedOn w:val="Normln"/>
    <w:link w:val="ZkladntextChar"/>
    <w:rsid w:val="00AF53A8"/>
    <w:pPr>
      <w:ind w:left="709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F53A8"/>
    <w:rPr>
      <w:rFonts w:ascii="Century Gothic" w:eastAsia="Times New Roman" w:hAnsi="Century Gothic" w:cs="Arial"/>
      <w:sz w:val="20"/>
      <w:lang w:eastAsia="cs-CZ"/>
    </w:rPr>
  </w:style>
  <w:style w:type="paragraph" w:styleId="Zkladntext3">
    <w:name w:val="Body Text 3"/>
    <w:basedOn w:val="Normln"/>
    <w:link w:val="Zkladntext3Char"/>
    <w:rsid w:val="00AF53A8"/>
    <w:pPr>
      <w:ind w:left="709"/>
    </w:pPr>
    <w:rPr>
      <w:rFonts w:eastAsia="Times New Roman" w:cs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F53A8"/>
    <w:rPr>
      <w:rFonts w:ascii="Century Gothic" w:eastAsia="Times New Roman" w:hAnsi="Century Gothic" w:cs="Arial"/>
      <w:sz w:val="16"/>
      <w:szCs w:val="16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F53A8"/>
    <w:rPr>
      <w:rFonts w:ascii="Century Gothic" w:hAnsi="Century Gothic"/>
      <w:sz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F53A8"/>
    <w:pPr>
      <w:ind w:left="283"/>
    </w:pPr>
  </w:style>
  <w:style w:type="paragraph" w:styleId="Textvbloku">
    <w:name w:val="Block Text"/>
    <w:basedOn w:val="Normln"/>
    <w:rsid w:val="00AF53A8"/>
    <w:pPr>
      <w:spacing w:after="0"/>
      <w:ind w:left="142" w:right="425"/>
    </w:pPr>
    <w:rPr>
      <w:rFonts w:ascii="Arial Narrow" w:eastAsia="Times New Roman" w:hAnsi="Arial Narrow" w:cs="Times New Roman"/>
      <w:w w:val="115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AF53A8"/>
    <w:pPr>
      <w:spacing w:after="0"/>
      <w:ind w:left="0" w:firstLine="709"/>
    </w:pPr>
    <w:rPr>
      <w:rFonts w:ascii="Courier New" w:eastAsia="Times New Roman" w:hAnsi="Courier New" w:cs="Times New Roman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F53A8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F53A8"/>
    <w:rPr>
      <w:rFonts w:ascii="Century Gothic" w:hAnsi="Century Gothic"/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F53A8"/>
    <w:pPr>
      <w:spacing w:line="480" w:lineRule="auto"/>
    </w:pPr>
  </w:style>
  <w:style w:type="paragraph" w:customStyle="1" w:styleId="Zhlav-doln">
    <w:name w:val="Záhlaví - dolní"/>
    <w:basedOn w:val="Zhlav"/>
    <w:rsid w:val="009F6B39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Zptenadresanaoblku">
    <w:name w:val="envelope return"/>
    <w:basedOn w:val="Normln"/>
    <w:rsid w:val="009E445F"/>
    <w:pPr>
      <w:spacing w:before="0" w:after="0"/>
      <w:ind w:left="0"/>
    </w:pPr>
    <w:rPr>
      <w:rFonts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5F2EC-815C-45D1-91CE-6E895209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4</Pages>
  <Words>890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300</cp:revision>
  <cp:lastPrinted>2021-10-08T08:52:00Z</cp:lastPrinted>
  <dcterms:created xsi:type="dcterms:W3CDTF">2020-11-28T16:00:00Z</dcterms:created>
  <dcterms:modified xsi:type="dcterms:W3CDTF">2024-06-28T11:42:00Z</dcterms:modified>
</cp:coreProperties>
</file>