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5B36787A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4E577C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4E577C">
        <w:rPr>
          <w:b/>
          <w:bCs/>
        </w:rPr>
        <w:t>u</w:t>
      </w:r>
      <w:r w:rsidR="00E07DBA" w:rsidRPr="00E07DBA">
        <w:rPr>
          <w:b/>
          <w:bCs/>
        </w:rPr>
        <w:t xml:space="preserve"> 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4E577C">
        <w:rPr>
          <w:b/>
          <w:bCs/>
        </w:rPr>
        <w:t>Řečkovice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73A6A59F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</w:t>
      </w:r>
      <w:r w:rsidR="004E577C">
        <w:rPr>
          <w:b/>
          <w:bCs/>
        </w:rPr>
        <w:t>ého</w:t>
      </w:r>
      <w:r w:rsidR="00E07DBA" w:rsidRPr="00E07DBA">
        <w:rPr>
          <w:b/>
          <w:bCs/>
        </w:rPr>
        <w:t xml:space="preserve"> plán</w:t>
      </w:r>
      <w:r w:rsidR="004E577C">
        <w:rPr>
          <w:b/>
          <w:bCs/>
        </w:rPr>
        <w:t>u</w:t>
      </w:r>
      <w:r w:rsidR="00AC0BE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4E577C">
        <w:rPr>
          <w:b/>
          <w:bCs/>
        </w:rPr>
        <w:t>Řečkovice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6F555C5E" w14:textId="77777777" w:rsidR="004E577C" w:rsidRDefault="004E577C" w:rsidP="004E577C">
      <w:r w:rsidRPr="00A4543E">
        <w:t>Vyhotovení geometrického plánu pro</w:t>
      </w:r>
      <w:r>
        <w:t>:</w:t>
      </w:r>
    </w:p>
    <w:p w14:paraId="38C56C19" w14:textId="77777777" w:rsidR="004E577C" w:rsidRPr="001B1A71" w:rsidRDefault="004E577C" w:rsidP="004E577C">
      <w:r>
        <w:t>-</w:t>
      </w:r>
      <w:r w:rsidRPr="00A4543E">
        <w:t xml:space="preserve"> </w:t>
      </w:r>
      <w:r>
        <w:t>odd</w:t>
      </w:r>
      <w:r w:rsidRPr="00A4543E">
        <w:t xml:space="preserve">ělení </w:t>
      </w:r>
      <w:r>
        <w:t xml:space="preserve">části </w:t>
      </w:r>
      <w:r w:rsidRPr="00A4543E">
        <w:t>pozemk</w:t>
      </w:r>
      <w:r>
        <w:t>u</w:t>
      </w:r>
      <w:r w:rsidRPr="00A4543E">
        <w:t xml:space="preserve"> </w:t>
      </w:r>
      <w:proofErr w:type="spellStart"/>
      <w:r>
        <w:t>p.č</w:t>
      </w:r>
      <w:proofErr w:type="spellEnd"/>
      <w:r>
        <w:t xml:space="preserve">. 4611/92 </w:t>
      </w:r>
      <w:r w:rsidRPr="00A4543E">
        <w:t>o výměře cca 102 m</w:t>
      </w:r>
      <w:r>
        <w:rPr>
          <w:vertAlign w:val="superscript"/>
        </w:rPr>
        <w:t>2</w:t>
      </w:r>
      <w:r>
        <w:t xml:space="preserve">, </w:t>
      </w:r>
      <w:proofErr w:type="spellStart"/>
      <w:r w:rsidRPr="00A4543E">
        <w:t>p.č</w:t>
      </w:r>
      <w:proofErr w:type="spellEnd"/>
      <w:r w:rsidRPr="00A4543E">
        <w:t>. 4611/93 o výměře cca 1111 m</w:t>
      </w:r>
      <w:r>
        <w:rPr>
          <w:vertAlign w:val="superscript"/>
        </w:rPr>
        <w:t>2</w:t>
      </w:r>
      <w:r>
        <w:t xml:space="preserve">, </w:t>
      </w:r>
      <w:proofErr w:type="spellStart"/>
      <w:r w:rsidRPr="00A4543E">
        <w:t>p.č</w:t>
      </w:r>
      <w:proofErr w:type="spellEnd"/>
      <w:r w:rsidRPr="00A4543E">
        <w:t>. 4611/94 o výměře cca 1231 m</w:t>
      </w:r>
      <w:r>
        <w:rPr>
          <w:vertAlign w:val="superscript"/>
        </w:rPr>
        <w:t>2</w:t>
      </w:r>
      <w:r>
        <w:t xml:space="preserve">, </w:t>
      </w:r>
      <w:proofErr w:type="spellStart"/>
      <w:r w:rsidRPr="00A4543E">
        <w:t>p.č</w:t>
      </w:r>
      <w:proofErr w:type="spellEnd"/>
      <w:r w:rsidRPr="00A4543E">
        <w:t>. 4611/95 o výměře cca 54 m</w:t>
      </w:r>
      <w:r>
        <w:rPr>
          <w:vertAlign w:val="superscript"/>
        </w:rPr>
        <w:t>2</w:t>
      </w:r>
      <w:r>
        <w:t xml:space="preserve">, </w:t>
      </w:r>
      <w:proofErr w:type="spellStart"/>
      <w:r w:rsidRPr="00A4543E">
        <w:t>p.č</w:t>
      </w:r>
      <w:proofErr w:type="spellEnd"/>
      <w:r w:rsidRPr="00A4543E">
        <w:t>. 4611/100 o výměře cca 1805 m</w:t>
      </w:r>
      <w:r>
        <w:rPr>
          <w:vertAlign w:val="superscript"/>
        </w:rPr>
        <w:t>2</w:t>
      </w:r>
      <w:r>
        <w:t xml:space="preserve">, </w:t>
      </w:r>
      <w:proofErr w:type="spellStart"/>
      <w:r w:rsidRPr="00A4543E">
        <w:t>p.č</w:t>
      </w:r>
      <w:proofErr w:type="spellEnd"/>
      <w:r w:rsidRPr="00A4543E">
        <w:t>. 4611/163 o výměře cca 190 m</w:t>
      </w:r>
      <w:r>
        <w:rPr>
          <w:vertAlign w:val="superscript"/>
        </w:rPr>
        <w:t>2</w:t>
      </w:r>
      <w:r>
        <w:t xml:space="preserve">, </w:t>
      </w:r>
      <w:proofErr w:type="spellStart"/>
      <w:r w:rsidRPr="00A4543E">
        <w:t>p.</w:t>
      </w:r>
      <w:r>
        <w:t>č</w:t>
      </w:r>
      <w:proofErr w:type="spellEnd"/>
      <w:r w:rsidRPr="00A4543E">
        <w:t xml:space="preserve">. 4698/1 o výměře cca 122 </w:t>
      </w:r>
      <w:r>
        <w:t>m</w:t>
      </w:r>
      <w:r>
        <w:rPr>
          <w:vertAlign w:val="superscript"/>
        </w:rPr>
        <w:t>2</w:t>
      </w:r>
      <w:r>
        <w:t>,</w:t>
      </w:r>
      <w:r w:rsidRPr="00A26FE6">
        <w:t xml:space="preserve"> </w:t>
      </w:r>
      <w:proofErr w:type="spellStart"/>
      <w:r w:rsidRPr="00A4543E">
        <w:t>p.č</w:t>
      </w:r>
      <w:proofErr w:type="spellEnd"/>
      <w:r w:rsidRPr="00A4543E">
        <w:t>. 4700 o výměře cca 141 m</w:t>
      </w:r>
      <w:r>
        <w:rPr>
          <w:vertAlign w:val="superscript"/>
        </w:rPr>
        <w:t>2</w:t>
      </w:r>
      <w:r>
        <w:t xml:space="preserve">, </w:t>
      </w:r>
      <w:proofErr w:type="spellStart"/>
      <w:r w:rsidRPr="00A4543E">
        <w:t>p.č</w:t>
      </w:r>
      <w:proofErr w:type="spellEnd"/>
      <w:r w:rsidRPr="00A4543E">
        <w:t>. 4702 o výměře cca 48 m</w:t>
      </w:r>
      <w:r>
        <w:rPr>
          <w:vertAlign w:val="superscript"/>
        </w:rPr>
        <w:t>2</w:t>
      </w:r>
      <w:r>
        <w:t xml:space="preserve"> </w:t>
      </w:r>
      <w:r w:rsidRPr="00A4543E">
        <w:t xml:space="preserve">a </w:t>
      </w:r>
      <w:proofErr w:type="spellStart"/>
      <w:r w:rsidRPr="00A4543E">
        <w:t>p.č</w:t>
      </w:r>
      <w:proofErr w:type="spellEnd"/>
      <w:r w:rsidRPr="00A4543E">
        <w:t>. 4703/3 o výměře cca 1 m</w:t>
      </w:r>
      <w:r>
        <w:rPr>
          <w:vertAlign w:val="superscript"/>
        </w:rPr>
        <w:t>2</w:t>
      </w:r>
      <w:r>
        <w:t xml:space="preserve"> vše v </w:t>
      </w:r>
      <w:proofErr w:type="spellStart"/>
      <w:r>
        <w:t>k.ú</w:t>
      </w:r>
      <w:proofErr w:type="spellEnd"/>
      <w:r>
        <w:t xml:space="preserve">. Královo Pole (příloha č. 1). </w:t>
      </w:r>
      <w:r w:rsidRPr="00A4543E">
        <w:t>Je požadován vznik nových pozemků o výmě</w:t>
      </w:r>
      <w:r>
        <w:t>rách</w:t>
      </w:r>
      <w:r w:rsidRPr="00A4543E">
        <w:t>, kter</w:t>
      </w:r>
      <w:r>
        <w:t>é</w:t>
      </w:r>
      <w:r w:rsidRPr="00A4543E">
        <w:t xml:space="preserve"> by se měl</w:t>
      </w:r>
      <w:r>
        <w:t>y</w:t>
      </w:r>
      <w:r w:rsidRPr="00A4543E">
        <w:t xml:space="preserve"> co nejvíce blížit výše uvedeným výměrám částí pozemků.</w:t>
      </w:r>
      <w:r>
        <w:t xml:space="preserve"> </w:t>
      </w:r>
      <w:r w:rsidRPr="00A4543E">
        <w:t xml:space="preserve">Pozemky jsou součástí uzavřeného sportovního areálu Vodova 108 s vjezdem z ulice Vodova, který je opatřen bránou a závorovým systémem s upozorněním, že vjezd je možný pouze na základě povolení. Sportovní areál Vodova 108 provozuje společnost STAREZ-SPORT, a.s. </w:t>
      </w:r>
      <w:r>
        <w:t xml:space="preserve">Kontaktní osobou za společnost je pan </w:t>
      </w:r>
      <w:proofErr w:type="spellStart"/>
      <w:r>
        <w:t>Zemach</w:t>
      </w:r>
      <w:proofErr w:type="spellEnd"/>
      <w:r>
        <w:t xml:space="preserve">, tel.: 774 447 788. </w:t>
      </w:r>
    </w:p>
    <w:p w14:paraId="08D0CEEE" w14:textId="77777777" w:rsidR="004E577C" w:rsidRDefault="004E577C" w:rsidP="004E577C">
      <w:pPr>
        <w:spacing w:after="0"/>
        <w:rPr>
          <w:rFonts w:cstheme="minorHAnsi"/>
        </w:rPr>
      </w:pPr>
      <w:r>
        <w:t xml:space="preserve">- </w:t>
      </w:r>
      <w:r w:rsidRPr="00A4543E">
        <w:t xml:space="preserve">vyznačení služebnosti kanalizační stoky DN 400 jednotné kanalizace pro veřejnou potřebu vč. ochranného pásma, které je v šíři 2,5 m vodorovně od vnějšího líce stěny potrubí, </w:t>
      </w:r>
      <w:r>
        <w:t>v oddělovaných</w:t>
      </w:r>
      <w:r w:rsidRPr="00A4543E">
        <w:t xml:space="preserve"> </w:t>
      </w:r>
      <w:r w:rsidRPr="00A4543E">
        <w:lastRenderedPageBreak/>
        <w:t>část</w:t>
      </w:r>
      <w:r>
        <w:t>ech</w:t>
      </w:r>
      <w:r w:rsidRPr="00A4543E">
        <w:t xml:space="preserve"> pozemků </w:t>
      </w:r>
      <w:proofErr w:type="spellStart"/>
      <w:r w:rsidRPr="00A4543E">
        <w:t>p.č</w:t>
      </w:r>
      <w:proofErr w:type="spellEnd"/>
      <w:r w:rsidRPr="00A4543E">
        <w:t xml:space="preserve">. </w:t>
      </w:r>
      <w:r>
        <w:t xml:space="preserve">4611/93, 4611/94, 4611/95, 4611/100, 4611/163 </w:t>
      </w:r>
      <w:proofErr w:type="spellStart"/>
      <w:r>
        <w:t>k.ú</w:t>
      </w:r>
      <w:proofErr w:type="spellEnd"/>
      <w:r>
        <w:t xml:space="preserve">. Královo Pole a pozemku </w:t>
      </w:r>
      <w:proofErr w:type="spellStart"/>
      <w:r>
        <w:t>p.č</w:t>
      </w:r>
      <w:proofErr w:type="spellEnd"/>
      <w:r>
        <w:t xml:space="preserve">. 4611/162 </w:t>
      </w:r>
      <w:proofErr w:type="spellStart"/>
      <w:r>
        <w:t>k.ú</w:t>
      </w:r>
      <w:proofErr w:type="spellEnd"/>
      <w:r>
        <w:t xml:space="preserve">. Královo Pole (příloha č. 2). </w:t>
      </w:r>
      <w:r>
        <w:rPr>
          <w:rFonts w:cstheme="minorHAnsi"/>
        </w:rPr>
        <w:t xml:space="preserve">V této souvislosti požadujeme, aby byl zkontaktován příslušný technik společnosti Brněnské vodárny a kanalizace, a.s. (bližší informace podá paní </w:t>
      </w:r>
      <w:r w:rsidRPr="00A4543E">
        <w:t xml:space="preserve">Ing. </w:t>
      </w:r>
      <w:r>
        <w:t>Lenka Polášková</w:t>
      </w:r>
      <w:r>
        <w:rPr>
          <w:rFonts w:cstheme="minorHAnsi"/>
        </w:rPr>
        <w:t xml:space="preserve"> ze společnosti Brněnské vodárny a kanalizace, a.s., </w:t>
      </w:r>
      <w:r w:rsidRPr="009D5453">
        <w:rPr>
          <w:rFonts w:cstheme="minorHAnsi"/>
        </w:rPr>
        <w:t xml:space="preserve">e-mail: </w:t>
      </w:r>
      <w:r>
        <w:t>lpolaskova</w:t>
      </w:r>
      <w:r w:rsidRPr="00A4543E">
        <w:t>@bvk.cz</w:t>
      </w:r>
      <w:r>
        <w:rPr>
          <w:rFonts w:cstheme="minorHAnsi"/>
        </w:rPr>
        <w:t xml:space="preserve">, tel.: </w:t>
      </w:r>
      <w:r w:rsidRPr="00A4543E">
        <w:t>543</w:t>
      </w:r>
      <w:r>
        <w:t> </w:t>
      </w:r>
      <w:r w:rsidRPr="00A4543E">
        <w:t>433</w:t>
      </w:r>
      <w:r>
        <w:t xml:space="preserve"> </w:t>
      </w:r>
      <w:r w:rsidRPr="00A4543E">
        <w:t>05</w:t>
      </w:r>
      <w:r>
        <w:t>5</w:t>
      </w:r>
      <w:r>
        <w:rPr>
          <w:rFonts w:cstheme="minorHAnsi"/>
        </w:rPr>
        <w:t xml:space="preserve">). </w:t>
      </w:r>
    </w:p>
    <w:p w14:paraId="4D9F3DC0" w14:textId="77777777" w:rsidR="004E577C" w:rsidRPr="009106F8" w:rsidRDefault="004E577C" w:rsidP="004E577C">
      <w:pPr>
        <w:spacing w:after="0"/>
        <w:rPr>
          <w:rFonts w:cstheme="minorHAnsi"/>
        </w:rPr>
      </w:pPr>
      <w:r w:rsidRPr="00A4543E">
        <w:t>Návrh geometrického plánu bude zaslán k odsouhlasení zadavateli před podáním na Katastrální úřad k potvrzení.</w:t>
      </w:r>
      <w:r>
        <w:t xml:space="preserve"> G</w:t>
      </w:r>
      <w:r w:rsidRPr="00A4543E">
        <w:t>eometrický plán bude dodán v počtu 20 kusů</w:t>
      </w:r>
      <w:r>
        <w:t xml:space="preserve"> ověřených</w:t>
      </w:r>
      <w:r w:rsidRPr="00A4543E">
        <w:t xml:space="preserve"> stejnopisů</w:t>
      </w:r>
      <w:r>
        <w:t xml:space="preserve">. </w:t>
      </w:r>
      <w:r w:rsidRPr="00A4543E">
        <w:t>Zadavatel požaduje zakázku předložit i v digitální formě ve formátech *</w:t>
      </w:r>
      <w:proofErr w:type="spellStart"/>
      <w:r w:rsidRPr="00A4543E">
        <w:t>pdf</w:t>
      </w:r>
      <w:proofErr w:type="spellEnd"/>
      <w:r w:rsidRPr="00A4543E">
        <w:t xml:space="preserve"> a *</w:t>
      </w:r>
      <w:proofErr w:type="spellStart"/>
      <w:r w:rsidRPr="00A4543E">
        <w:t>dgn</w:t>
      </w:r>
      <w:proofErr w:type="spellEnd"/>
      <w:r w:rsidRPr="00A4543E">
        <w:t>. Rovněž bude zakázka obsahovat seznam souřadnic ve formátu *</w:t>
      </w:r>
      <w:proofErr w:type="spellStart"/>
      <w:r w:rsidRPr="00A4543E">
        <w:t>txt</w:t>
      </w:r>
      <w:proofErr w:type="spellEnd"/>
      <w:r w:rsidRPr="00A4543E">
        <w:t xml:space="preserve">. DGN soubor bude obsahovat vektorový podklad pro vyhotovení zakázky (výřez DKM) a zákres průběhu nových hranic v samostatné vrstvě. </w:t>
      </w:r>
    </w:p>
    <w:p w14:paraId="4508C227" w14:textId="77777777" w:rsidR="003852E6" w:rsidRDefault="003852E6" w:rsidP="00382A73">
      <w:pPr>
        <w:spacing w:before="240" w:after="240" w:line="240" w:lineRule="auto"/>
        <w:jc w:val="both"/>
        <w:rPr>
          <w:b/>
          <w:bCs/>
        </w:rPr>
      </w:pPr>
    </w:p>
    <w:p w14:paraId="5CD568C6" w14:textId="77777777" w:rsidR="004E577C" w:rsidRDefault="004E577C" w:rsidP="00382A73">
      <w:pPr>
        <w:spacing w:before="240" w:after="240" w:line="240" w:lineRule="auto"/>
        <w:jc w:val="both"/>
        <w:rPr>
          <w:b/>
          <w:bCs/>
        </w:rPr>
      </w:pPr>
    </w:p>
    <w:p w14:paraId="446DD09D" w14:textId="60D0CFFA" w:rsidR="006235D4" w:rsidRPr="000B37E1" w:rsidRDefault="000B37E1" w:rsidP="00E07DBA">
      <w:pPr>
        <w:spacing w:line="276" w:lineRule="auto"/>
        <w:jc w:val="both"/>
        <w:rPr>
          <w:rFonts w:cstheme="minorHAnsi"/>
        </w:rPr>
      </w:pPr>
      <w:r>
        <w:t>K</w:t>
      </w:r>
      <w:r w:rsidR="005125FC" w:rsidRPr="00907049">
        <w:t>ontaktní osob</w:t>
      </w:r>
      <w:r w:rsidR="005D5CA5">
        <w:t>y</w:t>
      </w:r>
      <w:r w:rsidR="005125FC" w:rsidRPr="00907049">
        <w:t xml:space="preserve"> zadavatele v technických věcech: </w:t>
      </w:r>
      <w:r w:rsidR="004E577C">
        <w:t>Klára Hanáková</w:t>
      </w:r>
      <w:r w:rsidR="003F758E">
        <w:t xml:space="preserve">: </w:t>
      </w:r>
      <w:r w:rsidR="004E577C">
        <w:t>hanakova</w:t>
      </w:r>
      <w:r w:rsidR="003852E6">
        <w:t>.</w:t>
      </w:r>
      <w:r w:rsidR="004E577C">
        <w:t>klara</w:t>
      </w:r>
      <w:r w:rsidR="006235D4" w:rsidRPr="00907049">
        <w:t>@brno.cz,</w:t>
      </w:r>
      <w:r w:rsidR="00913D4C" w:rsidRPr="00907049">
        <w:t xml:space="preserve"> </w:t>
      </w:r>
      <w:r w:rsidR="003F6CF4">
        <w:t xml:space="preserve">tel.: </w:t>
      </w:r>
      <w:r w:rsidR="00913D4C" w:rsidRPr="00907049">
        <w:t>542 173</w:t>
      </w:r>
      <w:r w:rsidR="005D5CA5">
        <w:t> </w:t>
      </w:r>
      <w:r w:rsidR="004E577C">
        <w:t>105</w:t>
      </w:r>
      <w:r w:rsidR="003F6CF4">
        <w:rPr>
          <w:rFonts w:cstheme="minorHAnsi"/>
        </w:rPr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49047C38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4E577C" w:rsidRPr="002E70E5">
          <w:rPr>
            <w:rStyle w:val="Hypertextovodkaz"/>
            <w:b/>
            <w:bCs/>
          </w:rPr>
          <w:t>hanakova.klara@brno.cz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70FD7"/>
    <w:rsid w:val="00086EDB"/>
    <w:rsid w:val="000A14B2"/>
    <w:rsid w:val="000B0343"/>
    <w:rsid w:val="000B37E1"/>
    <w:rsid w:val="00137876"/>
    <w:rsid w:val="00155F81"/>
    <w:rsid w:val="00157210"/>
    <w:rsid w:val="001800BE"/>
    <w:rsid w:val="001867A7"/>
    <w:rsid w:val="001A3B86"/>
    <w:rsid w:val="001B7BF6"/>
    <w:rsid w:val="001C40B2"/>
    <w:rsid w:val="001C5A8B"/>
    <w:rsid w:val="00205CF7"/>
    <w:rsid w:val="00233898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3693C"/>
    <w:rsid w:val="003466A4"/>
    <w:rsid w:val="003537DD"/>
    <w:rsid w:val="00355308"/>
    <w:rsid w:val="00374F11"/>
    <w:rsid w:val="0038167E"/>
    <w:rsid w:val="00382A73"/>
    <w:rsid w:val="003852E6"/>
    <w:rsid w:val="003E3205"/>
    <w:rsid w:val="003F1789"/>
    <w:rsid w:val="003F6CF4"/>
    <w:rsid w:val="003F758E"/>
    <w:rsid w:val="004348F1"/>
    <w:rsid w:val="0045218F"/>
    <w:rsid w:val="00455D5A"/>
    <w:rsid w:val="004C36E4"/>
    <w:rsid w:val="004D077A"/>
    <w:rsid w:val="004D7696"/>
    <w:rsid w:val="004E577C"/>
    <w:rsid w:val="005125FC"/>
    <w:rsid w:val="00580BC8"/>
    <w:rsid w:val="005840ED"/>
    <w:rsid w:val="00594845"/>
    <w:rsid w:val="005B4943"/>
    <w:rsid w:val="005C105F"/>
    <w:rsid w:val="005D5CA5"/>
    <w:rsid w:val="0060260B"/>
    <w:rsid w:val="006235D4"/>
    <w:rsid w:val="0066271C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4086"/>
    <w:rsid w:val="007D6263"/>
    <w:rsid w:val="007E2BB9"/>
    <w:rsid w:val="007F1F64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7049"/>
    <w:rsid w:val="00913D4C"/>
    <w:rsid w:val="00914179"/>
    <w:rsid w:val="00933F46"/>
    <w:rsid w:val="009552A1"/>
    <w:rsid w:val="0097201A"/>
    <w:rsid w:val="00982CC0"/>
    <w:rsid w:val="00991D79"/>
    <w:rsid w:val="00992E1B"/>
    <w:rsid w:val="009A2005"/>
    <w:rsid w:val="009D34EF"/>
    <w:rsid w:val="009F3464"/>
    <w:rsid w:val="00A15B8E"/>
    <w:rsid w:val="00A23045"/>
    <w:rsid w:val="00A41BE7"/>
    <w:rsid w:val="00A564F9"/>
    <w:rsid w:val="00A9040A"/>
    <w:rsid w:val="00A90EE6"/>
    <w:rsid w:val="00A97905"/>
    <w:rsid w:val="00AB4479"/>
    <w:rsid w:val="00AC0BE6"/>
    <w:rsid w:val="00AC130E"/>
    <w:rsid w:val="00B34988"/>
    <w:rsid w:val="00B406B6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1FC"/>
    <w:rsid w:val="00C72C6A"/>
    <w:rsid w:val="00C839A8"/>
    <w:rsid w:val="00C924D2"/>
    <w:rsid w:val="00C972DF"/>
    <w:rsid w:val="00CA426F"/>
    <w:rsid w:val="00CB4029"/>
    <w:rsid w:val="00D747D8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66BB2"/>
    <w:rsid w:val="00F85B94"/>
    <w:rsid w:val="00F94BE2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951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Škrabal Ivo (MMB_MO)</cp:lastModifiedBy>
  <cp:revision>16</cp:revision>
  <cp:lastPrinted>2023-10-24T08:37:00Z</cp:lastPrinted>
  <dcterms:created xsi:type="dcterms:W3CDTF">2023-10-24T08:31:00Z</dcterms:created>
  <dcterms:modified xsi:type="dcterms:W3CDTF">2025-07-11T05:45:00Z</dcterms:modified>
</cp:coreProperties>
</file>