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14706CE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 xml:space="preserve">yhotovení geometrického plánu na </w:t>
      </w:r>
      <w:r w:rsidR="00A028B6">
        <w:rPr>
          <w:b/>
          <w:bCs/>
        </w:rPr>
        <w:t>rozdělení pozemku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A028B6">
        <w:rPr>
          <w:b/>
          <w:bCs/>
        </w:rPr>
        <w:t>Lysice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B7A90A2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 xml:space="preserve">yhotovení geometrického plánu na </w:t>
      </w:r>
      <w:r w:rsidR="00A028B6">
        <w:rPr>
          <w:b/>
          <w:bCs/>
        </w:rPr>
        <w:t>rozdělení pozemku</w:t>
      </w:r>
      <w:r w:rsidR="002314EC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F15B59">
        <w:rPr>
          <w:b/>
          <w:bCs/>
        </w:rPr>
        <w:t xml:space="preserve"> </w:t>
      </w:r>
      <w:r w:rsidR="00A028B6">
        <w:rPr>
          <w:b/>
          <w:bCs/>
        </w:rPr>
        <w:t>Lysice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11A08C9" w14:textId="18959429" w:rsidR="00F11DD9" w:rsidRDefault="00A028B6" w:rsidP="00F64F14">
      <w:pPr>
        <w:jc w:val="both"/>
        <w:rPr>
          <w:rFonts w:cstheme="minorHAnsi"/>
        </w:rPr>
      </w:pPr>
      <w:r w:rsidRPr="00F94C1F">
        <w:rPr>
          <w:rFonts w:cstheme="minorHAnsi"/>
        </w:rPr>
        <w:t xml:space="preserve">Vyhotovení geometrického plánu na rozdělení pozemku </w:t>
      </w:r>
      <w:proofErr w:type="spellStart"/>
      <w:r w:rsidRPr="00F94C1F">
        <w:rPr>
          <w:rFonts w:cstheme="minorHAnsi"/>
        </w:rPr>
        <w:t>p.č</w:t>
      </w:r>
      <w:proofErr w:type="spellEnd"/>
      <w:r w:rsidRPr="00F94C1F">
        <w:rPr>
          <w:rFonts w:cstheme="minorHAnsi"/>
        </w:rPr>
        <w:t xml:space="preserve">. 6539 v </w:t>
      </w:r>
      <w:proofErr w:type="spellStart"/>
      <w:r w:rsidRPr="00F94C1F">
        <w:rPr>
          <w:rFonts w:cstheme="minorHAnsi"/>
        </w:rPr>
        <w:t>k.ú</w:t>
      </w:r>
      <w:proofErr w:type="spellEnd"/>
      <w:r w:rsidRPr="00F94C1F">
        <w:rPr>
          <w:rFonts w:cstheme="minorHAnsi"/>
        </w:rPr>
        <w:t>. Lysice. Část pozemku je zastavěna objektem vodohospodářské infrastruktury (vzdušníkem VZ 32). Vymezení rozsahu části pozemku bude na místě vymezeno pracovníkem společnosti Brněnské vodárny a kanalizace, a.s. Kontaktní osoby: pan Jiří Kalivoda, vedoucí provozu CVD, prameniště a dálkových přivaděčů, tel</w:t>
      </w:r>
      <w:r w:rsidR="00F11DD9">
        <w:rPr>
          <w:rFonts w:cstheme="minorHAnsi"/>
        </w:rPr>
        <w:t>.:</w:t>
      </w:r>
      <w:r w:rsidRPr="00F94C1F">
        <w:rPr>
          <w:rFonts w:cstheme="minorHAnsi"/>
        </w:rPr>
        <w:t xml:space="preserve"> 543</w:t>
      </w:r>
      <w:r w:rsidR="00F11DD9">
        <w:rPr>
          <w:rFonts w:cstheme="minorHAnsi"/>
        </w:rPr>
        <w:t> </w:t>
      </w:r>
      <w:r w:rsidRPr="00F94C1F">
        <w:rPr>
          <w:rFonts w:cstheme="minorHAnsi"/>
        </w:rPr>
        <w:t>433</w:t>
      </w:r>
      <w:r w:rsidR="00F11DD9">
        <w:rPr>
          <w:rFonts w:cstheme="minorHAnsi"/>
        </w:rPr>
        <w:t xml:space="preserve"> </w:t>
      </w:r>
      <w:r w:rsidRPr="00F94C1F">
        <w:rPr>
          <w:rFonts w:cstheme="minorHAnsi"/>
        </w:rPr>
        <w:t xml:space="preserve">245, </w:t>
      </w:r>
      <w:r w:rsidR="00F11DD9">
        <w:rPr>
          <w:rFonts w:cstheme="minorHAnsi"/>
        </w:rPr>
        <w:t xml:space="preserve">email: </w:t>
      </w:r>
      <w:r w:rsidRPr="00F94C1F">
        <w:rPr>
          <w:rFonts w:cstheme="minorHAnsi"/>
        </w:rPr>
        <w:t xml:space="preserve">jkalivoda@bvk.cz </w:t>
      </w:r>
      <w:r w:rsidR="00F11DD9">
        <w:rPr>
          <w:rFonts w:cstheme="minorHAnsi"/>
        </w:rPr>
        <w:t>a</w:t>
      </w:r>
      <w:r w:rsidRPr="00F94C1F">
        <w:rPr>
          <w:rFonts w:cstheme="minorHAnsi"/>
        </w:rPr>
        <w:t xml:space="preserve"> pan Ondřej </w:t>
      </w:r>
      <w:proofErr w:type="spellStart"/>
      <w:r w:rsidRPr="00F94C1F">
        <w:rPr>
          <w:rFonts w:cstheme="minorHAnsi"/>
        </w:rPr>
        <w:t>Krmela</w:t>
      </w:r>
      <w:proofErr w:type="spellEnd"/>
      <w:r w:rsidRPr="00F94C1F">
        <w:rPr>
          <w:rFonts w:cstheme="minorHAnsi"/>
        </w:rPr>
        <w:t xml:space="preserve"> (geodet), tel</w:t>
      </w:r>
      <w:r w:rsidR="00F11DD9">
        <w:rPr>
          <w:rFonts w:cstheme="minorHAnsi"/>
        </w:rPr>
        <w:t>.:</w:t>
      </w:r>
      <w:r w:rsidRPr="00F94C1F">
        <w:rPr>
          <w:rFonts w:cstheme="minorHAnsi"/>
        </w:rPr>
        <w:t xml:space="preserve"> 543</w:t>
      </w:r>
      <w:r w:rsidR="00F11DD9">
        <w:rPr>
          <w:rFonts w:cstheme="minorHAnsi"/>
        </w:rPr>
        <w:t> </w:t>
      </w:r>
      <w:r w:rsidRPr="00F94C1F">
        <w:rPr>
          <w:rFonts w:cstheme="minorHAnsi"/>
        </w:rPr>
        <w:t>433</w:t>
      </w:r>
      <w:r w:rsidR="00F11DD9">
        <w:rPr>
          <w:rFonts w:cstheme="minorHAnsi"/>
        </w:rPr>
        <w:t xml:space="preserve"> </w:t>
      </w:r>
      <w:r w:rsidRPr="00F94C1F">
        <w:rPr>
          <w:rFonts w:cstheme="minorHAnsi"/>
        </w:rPr>
        <w:t>228, mobil</w:t>
      </w:r>
      <w:r w:rsidR="00F11DD9">
        <w:rPr>
          <w:rFonts w:cstheme="minorHAnsi"/>
        </w:rPr>
        <w:t>:</w:t>
      </w:r>
      <w:r w:rsidRPr="00F94C1F">
        <w:rPr>
          <w:rFonts w:cstheme="minorHAnsi"/>
        </w:rPr>
        <w:t xml:space="preserve"> 725 663 810, </w:t>
      </w:r>
      <w:r w:rsidR="00F11DD9">
        <w:rPr>
          <w:rFonts w:cstheme="minorHAnsi"/>
        </w:rPr>
        <w:t xml:space="preserve">email: </w:t>
      </w:r>
      <w:r w:rsidRPr="00F94C1F">
        <w:rPr>
          <w:rFonts w:cstheme="minorHAnsi"/>
        </w:rPr>
        <w:t>okrmela@bvk.cz</w:t>
      </w:r>
      <w:r w:rsidR="00F11DD9">
        <w:rPr>
          <w:rFonts w:cstheme="minorHAnsi"/>
        </w:rPr>
        <w:t>.</w:t>
      </w:r>
      <w:r w:rsidRPr="00F94C1F">
        <w:rPr>
          <w:rFonts w:cstheme="minorHAnsi"/>
        </w:rPr>
        <w:t xml:space="preserve"> </w:t>
      </w:r>
    </w:p>
    <w:p w14:paraId="358120A9" w14:textId="06230D77" w:rsidR="00F64F14" w:rsidRPr="00F94C1F" w:rsidRDefault="00A028B6" w:rsidP="00F64F14">
      <w:pPr>
        <w:jc w:val="both"/>
        <w:rPr>
          <w:rFonts w:cstheme="minorHAnsi"/>
        </w:rPr>
      </w:pPr>
      <w:r w:rsidRPr="00F94C1F">
        <w:rPr>
          <w:rFonts w:cstheme="minorHAnsi"/>
        </w:rPr>
        <w:t>GP bude dodán v počtu 8 kusů stejnopisů</w:t>
      </w:r>
      <w:r w:rsidR="00F11DD9">
        <w:rPr>
          <w:rFonts w:cstheme="minorHAnsi"/>
        </w:rPr>
        <w:t>.</w:t>
      </w:r>
      <w:r w:rsidRPr="00F94C1F">
        <w:rPr>
          <w:rFonts w:cstheme="minorHAnsi"/>
        </w:rPr>
        <w:t xml:space="preserve"> Zadavatel požaduje zakázku předložit i v digitální formě ve formátech *</w:t>
      </w:r>
      <w:proofErr w:type="spellStart"/>
      <w:r w:rsidRPr="00F94C1F">
        <w:rPr>
          <w:rFonts w:cstheme="minorHAnsi"/>
        </w:rPr>
        <w:t>pdf</w:t>
      </w:r>
      <w:proofErr w:type="spellEnd"/>
      <w:r w:rsidRPr="00F94C1F">
        <w:rPr>
          <w:rFonts w:cstheme="minorHAnsi"/>
        </w:rPr>
        <w:t xml:space="preserve"> a *</w:t>
      </w:r>
      <w:proofErr w:type="spellStart"/>
      <w:r w:rsidRPr="00F94C1F">
        <w:rPr>
          <w:rFonts w:cstheme="minorHAnsi"/>
        </w:rPr>
        <w:t>dgn</w:t>
      </w:r>
      <w:proofErr w:type="spellEnd"/>
      <w:r w:rsidRPr="00F94C1F">
        <w:rPr>
          <w:rFonts w:cstheme="minorHAnsi"/>
        </w:rPr>
        <w:t>. Rovněž bude zakázka obsahovat seznam souřadnic ve formátu *</w:t>
      </w:r>
      <w:proofErr w:type="spellStart"/>
      <w:r w:rsidRPr="00F94C1F">
        <w:rPr>
          <w:rFonts w:cstheme="minorHAnsi"/>
        </w:rPr>
        <w:t>txt</w:t>
      </w:r>
      <w:proofErr w:type="spellEnd"/>
      <w:r w:rsidRPr="00F94C1F">
        <w:rPr>
          <w:rFonts w:cstheme="minorHAnsi"/>
        </w:rPr>
        <w:t>. DGN soubor bude obsahovat vektorový podklad pro vyhotovení zakázky (výřez DKM) a zákres průběhu nových hranic v samostatné vrstvě. Návrh geometrického plánu bude zaslán k odsouhlasení společnosti Brněnské vodárny a kanalizace, a.s. a zadavateli před podáním na Katastrální úřad k potvrzení.</w:t>
      </w:r>
    </w:p>
    <w:p w14:paraId="2AC3BE67" w14:textId="77777777" w:rsidR="00A028B6" w:rsidRPr="00746370" w:rsidRDefault="00A028B6" w:rsidP="00F64F14">
      <w:pPr>
        <w:jc w:val="both"/>
        <w:rPr>
          <w:rFonts w:ascii="Arial" w:hAnsi="Arial" w:cs="Arial"/>
          <w:sz w:val="20"/>
          <w:szCs w:val="20"/>
        </w:rPr>
      </w:pPr>
    </w:p>
    <w:p w14:paraId="446DD09D" w14:textId="5E980FE3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lastRenderedPageBreak/>
        <w:t>K</w:t>
      </w:r>
      <w:r w:rsidR="005125FC" w:rsidRPr="00907049">
        <w:t>ontaktní osob</w:t>
      </w:r>
      <w:r w:rsidR="00A028B6">
        <w:t>a</w:t>
      </w:r>
      <w:r w:rsidR="005125FC" w:rsidRPr="00907049">
        <w:t xml:space="preserve"> zadavatele v technických věcech: </w:t>
      </w:r>
      <w:r w:rsidR="00A028B6">
        <w:t>Ing. Ilona Frýzová</w:t>
      </w:r>
      <w:r w:rsidR="006235D4" w:rsidRPr="00907049">
        <w:t xml:space="preserve">, </w:t>
      </w:r>
      <w:r w:rsidR="003F758E">
        <w:t xml:space="preserve">email: </w:t>
      </w:r>
      <w:r w:rsidR="00A028B6">
        <w:t>fryzova.ilona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</w:t>
      </w:r>
      <w:r w:rsidR="00A028B6">
        <w:t>3</w:t>
      </w:r>
      <w:r w:rsidR="002314EC">
        <w:t> </w:t>
      </w:r>
      <w:r w:rsidR="00A028B6">
        <w:t>353</w:t>
      </w:r>
      <w:r w:rsidR="002314EC">
        <w:t>.</w:t>
      </w:r>
      <w:r w:rsidR="005D5CA5">
        <w:t xml:space="preserve"> 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533406E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A028B6" w:rsidRPr="00972D7C">
          <w:rPr>
            <w:rStyle w:val="Hypertextovodkaz"/>
            <w:b/>
            <w:bCs/>
          </w:rPr>
          <w:t>fryzova.ilona@brno.cz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70FD7"/>
    <w:rsid w:val="00071509"/>
    <w:rsid w:val="00086EDB"/>
    <w:rsid w:val="000A14B2"/>
    <w:rsid w:val="000B0343"/>
    <w:rsid w:val="000B37E1"/>
    <w:rsid w:val="00137876"/>
    <w:rsid w:val="00155F81"/>
    <w:rsid w:val="00157210"/>
    <w:rsid w:val="001800BE"/>
    <w:rsid w:val="001867A7"/>
    <w:rsid w:val="001B7BF6"/>
    <w:rsid w:val="001C40B2"/>
    <w:rsid w:val="001C5A8B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348F1"/>
    <w:rsid w:val="0045218F"/>
    <w:rsid w:val="00455D5A"/>
    <w:rsid w:val="004845B7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1565"/>
    <w:rsid w:val="007D4086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552A1"/>
    <w:rsid w:val="0097201A"/>
    <w:rsid w:val="00982CC0"/>
    <w:rsid w:val="00991D79"/>
    <w:rsid w:val="00992E1B"/>
    <w:rsid w:val="009A2005"/>
    <w:rsid w:val="009A6731"/>
    <w:rsid w:val="009D34EF"/>
    <w:rsid w:val="009F3464"/>
    <w:rsid w:val="00A028B6"/>
    <w:rsid w:val="00A15B8E"/>
    <w:rsid w:val="00A23045"/>
    <w:rsid w:val="00A41BE7"/>
    <w:rsid w:val="00A564F9"/>
    <w:rsid w:val="00A90EE6"/>
    <w:rsid w:val="00A97905"/>
    <w:rsid w:val="00AB4479"/>
    <w:rsid w:val="00AC130E"/>
    <w:rsid w:val="00B34988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B235C"/>
    <w:rsid w:val="00DC06AA"/>
    <w:rsid w:val="00DD5357"/>
    <w:rsid w:val="00DF2F21"/>
    <w:rsid w:val="00E07DBA"/>
    <w:rsid w:val="00E446A8"/>
    <w:rsid w:val="00E707BF"/>
    <w:rsid w:val="00E878B1"/>
    <w:rsid w:val="00EA3D99"/>
    <w:rsid w:val="00EA6FE5"/>
    <w:rsid w:val="00EB6934"/>
    <w:rsid w:val="00EE51B8"/>
    <w:rsid w:val="00F11DD9"/>
    <w:rsid w:val="00F15B59"/>
    <w:rsid w:val="00F26109"/>
    <w:rsid w:val="00F35EE3"/>
    <w:rsid w:val="00F64F14"/>
    <w:rsid w:val="00F85B94"/>
    <w:rsid w:val="00F94BE2"/>
    <w:rsid w:val="00F94C1F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fryzova.ilon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821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18</cp:revision>
  <cp:lastPrinted>2023-10-24T08:37:00Z</cp:lastPrinted>
  <dcterms:created xsi:type="dcterms:W3CDTF">2023-10-24T08:31:00Z</dcterms:created>
  <dcterms:modified xsi:type="dcterms:W3CDTF">2025-08-20T06:47:00Z</dcterms:modified>
</cp:coreProperties>
</file>