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278A922D" w14:textId="77777777" w:rsidTr="001E540C">
        <w:tc>
          <w:tcPr>
            <w:tcW w:w="2268" w:type="dxa"/>
          </w:tcPr>
          <w:p w14:paraId="797CD14D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4476695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0DB30319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0167E4E2" w14:textId="77777777" w:rsidTr="001E540C">
        <w:tc>
          <w:tcPr>
            <w:tcW w:w="2268" w:type="dxa"/>
          </w:tcPr>
          <w:p w14:paraId="0A1695C1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1F7BB29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677EAAB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767664B" w14:textId="77777777" w:rsidTr="001E540C">
        <w:tc>
          <w:tcPr>
            <w:tcW w:w="2268" w:type="dxa"/>
          </w:tcPr>
          <w:p w14:paraId="09C460A3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4DBBF8F9" w14:textId="77777777" w:rsidR="00CA4103" w:rsidRPr="00924B98" w:rsidRDefault="00FF57F7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4B412A">
              <w:rPr>
                <w:color w:val="auto"/>
              </w:rPr>
              <w:t xml:space="preserve">. </w:t>
            </w:r>
            <w:r w:rsidR="00FA7A9D">
              <w:rPr>
                <w:color w:val="auto"/>
              </w:rPr>
              <w:t>Ladislav Zajíc</w:t>
            </w:r>
            <w:r w:rsidR="00BE4518">
              <w:rPr>
                <w:color w:val="auto"/>
              </w:rPr>
              <w:t xml:space="preserve"> </w:t>
            </w:r>
          </w:p>
        </w:tc>
        <w:tc>
          <w:tcPr>
            <w:tcW w:w="2921" w:type="dxa"/>
            <w:vMerge/>
          </w:tcPr>
          <w:p w14:paraId="3F4B50CC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52FC2372" w14:textId="77777777" w:rsidTr="001E540C">
        <w:tc>
          <w:tcPr>
            <w:tcW w:w="2268" w:type="dxa"/>
          </w:tcPr>
          <w:p w14:paraId="64CC3053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0866BB45" w14:textId="77777777" w:rsidR="00CA4103" w:rsidRPr="00924B98" w:rsidRDefault="00FA7A9D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682AF4BF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2A5054AD" w14:textId="77777777" w:rsidTr="001E540C">
        <w:tc>
          <w:tcPr>
            <w:tcW w:w="2268" w:type="dxa"/>
          </w:tcPr>
          <w:p w14:paraId="2DE8A102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5075A65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4C7B1E9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6C8A9731" w14:textId="77777777" w:rsidTr="001E540C">
        <w:tc>
          <w:tcPr>
            <w:tcW w:w="2268" w:type="dxa"/>
          </w:tcPr>
          <w:p w14:paraId="66CD4CEF" w14:textId="77777777" w:rsidR="00780A83" w:rsidRDefault="00854FB9" w:rsidP="001E540C">
            <w:pPr>
              <w:pStyle w:val="Brnopopis"/>
            </w:pPr>
            <w:r>
              <w:t>ič</w:t>
            </w:r>
            <w:r w:rsidR="00B7217C">
              <w:t>O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6D0D4FBA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32B889C8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59D78CAF" w14:textId="77777777" w:rsidTr="001E540C">
        <w:tc>
          <w:tcPr>
            <w:tcW w:w="2268" w:type="dxa"/>
          </w:tcPr>
          <w:p w14:paraId="1BD73554" w14:textId="77777777" w:rsidR="00780A83" w:rsidRDefault="00780A83" w:rsidP="001E540C">
            <w:pPr>
              <w:pStyle w:val="Brnopopis"/>
            </w:pPr>
          </w:p>
        </w:tc>
        <w:tc>
          <w:tcPr>
            <w:tcW w:w="4253" w:type="dxa"/>
          </w:tcPr>
          <w:p w14:paraId="2A259B2D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7FBEE802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5306C9E" w14:textId="77777777" w:rsidTr="001E540C">
        <w:tc>
          <w:tcPr>
            <w:tcW w:w="2268" w:type="dxa"/>
          </w:tcPr>
          <w:p w14:paraId="3D3D0E6F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6A5F91A3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6F6307D5" w14:textId="77777777" w:rsidR="00CA4103" w:rsidRDefault="00CA4103" w:rsidP="001E540C">
            <w:pPr>
              <w:pStyle w:val="Brnopopistext"/>
            </w:pPr>
          </w:p>
        </w:tc>
      </w:tr>
      <w:tr w:rsidR="00CA4103" w14:paraId="46C98D6A" w14:textId="77777777" w:rsidTr="001E540C">
        <w:trPr>
          <w:trHeight w:val="80"/>
        </w:trPr>
        <w:tc>
          <w:tcPr>
            <w:tcW w:w="2268" w:type="dxa"/>
          </w:tcPr>
          <w:p w14:paraId="6DC3B526" w14:textId="77777777" w:rsidR="00CA4103" w:rsidRPr="00416897" w:rsidRDefault="004B412A" w:rsidP="001E540C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08096526" w14:textId="7C8536F3" w:rsidR="00CA4103" w:rsidRPr="00924B98" w:rsidRDefault="009F689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  <w:szCs w:val="18"/>
              </w:rPr>
              <w:t>21.08.2025</w:t>
            </w:r>
          </w:p>
        </w:tc>
        <w:tc>
          <w:tcPr>
            <w:tcW w:w="2921" w:type="dxa"/>
          </w:tcPr>
          <w:p w14:paraId="6B7A1D79" w14:textId="77777777" w:rsidR="00CA4103" w:rsidRDefault="00CA4103" w:rsidP="001E540C">
            <w:pPr>
              <w:pStyle w:val="Brnopopistext"/>
            </w:pPr>
          </w:p>
        </w:tc>
      </w:tr>
      <w:tr w:rsidR="00CA4103" w14:paraId="1FA12D16" w14:textId="77777777" w:rsidTr="001E540C">
        <w:tc>
          <w:tcPr>
            <w:tcW w:w="2268" w:type="dxa"/>
          </w:tcPr>
          <w:p w14:paraId="3D42E90F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4AF3BE37" w14:textId="77777777" w:rsidR="00CA4103" w:rsidRPr="00924B98" w:rsidRDefault="00B7217C" w:rsidP="001E540C">
            <w:pPr>
              <w:pStyle w:val="Brnopopistext"/>
              <w:rPr>
                <w:color w:val="auto"/>
              </w:rPr>
            </w:pPr>
            <w:r w:rsidRPr="00DE68F1">
              <w:rPr>
                <w:color w:val="auto"/>
                <w:szCs w:val="18"/>
              </w:rPr>
              <w:t>0</w:t>
            </w:r>
            <w:r w:rsidR="00AE6FB2">
              <w:rPr>
                <w:color w:val="auto"/>
                <w:szCs w:val="18"/>
              </w:rPr>
              <w:t>3</w:t>
            </w:r>
          </w:p>
        </w:tc>
        <w:tc>
          <w:tcPr>
            <w:tcW w:w="2921" w:type="dxa"/>
          </w:tcPr>
          <w:p w14:paraId="03D50EB0" w14:textId="77777777" w:rsidR="00CA4103" w:rsidRDefault="00CA4103" w:rsidP="001E540C">
            <w:pPr>
              <w:pStyle w:val="Brnopopistext"/>
            </w:pPr>
          </w:p>
        </w:tc>
      </w:tr>
      <w:tr w:rsidR="00CA4103" w14:paraId="6199FD51" w14:textId="77777777" w:rsidTr="001E540C">
        <w:tc>
          <w:tcPr>
            <w:tcW w:w="2268" w:type="dxa"/>
          </w:tcPr>
          <w:p w14:paraId="054B72D9" w14:textId="77777777" w:rsidR="00CA4103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3A8197BE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18A7349C" w14:textId="77777777" w:rsidR="00CA4103" w:rsidRDefault="00CA4103" w:rsidP="001E540C">
            <w:pPr>
              <w:pStyle w:val="Brnopopistext"/>
            </w:pPr>
          </w:p>
        </w:tc>
      </w:tr>
      <w:tr w:rsidR="00CA4103" w14:paraId="7B137482" w14:textId="77777777" w:rsidTr="001E540C">
        <w:tc>
          <w:tcPr>
            <w:tcW w:w="2268" w:type="dxa"/>
          </w:tcPr>
          <w:p w14:paraId="6B97F28D" w14:textId="77777777" w:rsidR="004B412A" w:rsidRDefault="004B412A" w:rsidP="001E540C">
            <w:pPr>
              <w:pStyle w:val="Brnopopis"/>
            </w:pPr>
          </w:p>
          <w:p w14:paraId="3F40FB2A" w14:textId="77777777" w:rsidR="004B412A" w:rsidRDefault="004B412A" w:rsidP="001E540C">
            <w:pPr>
              <w:pStyle w:val="Brnopopis"/>
            </w:pPr>
          </w:p>
        </w:tc>
        <w:tc>
          <w:tcPr>
            <w:tcW w:w="4253" w:type="dxa"/>
          </w:tcPr>
          <w:p w14:paraId="3AF0627C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32FEFBED" w14:textId="77777777" w:rsidR="00CA4103" w:rsidRDefault="00CA4103" w:rsidP="001E540C">
            <w:pPr>
              <w:pStyle w:val="Brnopopistext"/>
            </w:pPr>
          </w:p>
        </w:tc>
      </w:tr>
    </w:tbl>
    <w:p w14:paraId="34698F05" w14:textId="77777777" w:rsidR="00615C31" w:rsidRDefault="00780A83" w:rsidP="004B412A">
      <w:pPr>
        <w:pStyle w:val="Normlntun"/>
        <w:rPr>
          <w:color w:val="auto"/>
        </w:rPr>
      </w:pPr>
      <w:r>
        <w:rPr>
          <w:color w:val="auto"/>
        </w:rPr>
        <w:t xml:space="preserve">Výzva k podání nabídky </w:t>
      </w:r>
      <w:r w:rsidR="009068F4">
        <w:rPr>
          <w:color w:val="auto"/>
        </w:rPr>
        <w:t xml:space="preserve">v rámci průzkumu trhu </w:t>
      </w:r>
      <w:r>
        <w:rPr>
          <w:color w:val="auto"/>
        </w:rPr>
        <w:t>k veřejné zakázce malého rozsahu s názvem: „</w:t>
      </w:r>
      <w:r w:rsidR="00376823">
        <w:rPr>
          <w:color w:val="auto"/>
        </w:rPr>
        <w:t>Služby v oblasti podnikové architektury (Enterprise architecture)</w:t>
      </w:r>
      <w:r w:rsidR="00615C31">
        <w:rPr>
          <w:color w:val="auto"/>
        </w:rPr>
        <w:t>“</w:t>
      </w:r>
    </w:p>
    <w:p w14:paraId="50A08CF4" w14:textId="77777777" w:rsidR="004B412A" w:rsidRPr="00601251" w:rsidRDefault="004B412A" w:rsidP="00601251">
      <w:pPr>
        <w:pStyle w:val="Normlntun"/>
        <w:rPr>
          <w:color w:val="auto"/>
        </w:rPr>
      </w:pPr>
    </w:p>
    <w:p w14:paraId="1097C47A" w14:textId="77777777" w:rsidR="001E3949" w:rsidRDefault="00DB78E5" w:rsidP="00F1524A">
      <w:pPr>
        <w:tabs>
          <w:tab w:val="center" w:pos="4536"/>
          <w:tab w:val="right" w:pos="9072"/>
        </w:tabs>
      </w:pPr>
      <w:r>
        <w:t xml:space="preserve">Zadavatel Statutární město Brno Vás vyzývá </w:t>
      </w:r>
      <w:r w:rsidR="00904157">
        <w:t>k</w:t>
      </w:r>
      <w:r w:rsidR="00615C31">
        <w:t xml:space="preserve"> předložení nabídky na veřejnou zakázku</w:t>
      </w:r>
      <w:r w:rsidR="00102259">
        <w:t xml:space="preserve"> malého rozsahu</w:t>
      </w:r>
      <w:r w:rsidR="00615C31">
        <w:t xml:space="preserve"> „</w:t>
      </w:r>
      <w:bookmarkStart w:id="0" w:name="_Hlk35267660"/>
      <w:r w:rsidR="00376823" w:rsidRPr="00376823">
        <w:t>Služby v oblasti podnikové architektury (Enterprise architecture)</w:t>
      </w:r>
      <w:bookmarkEnd w:id="0"/>
      <w:r w:rsidR="004757DA">
        <w:t>.</w:t>
      </w:r>
      <w:r w:rsidR="006478EC">
        <w:t>“</w:t>
      </w:r>
      <w:r w:rsidR="00615C31">
        <w:t xml:space="preserve"> </w:t>
      </w:r>
    </w:p>
    <w:p w14:paraId="5F90DF80" w14:textId="70118D86" w:rsidR="001E3949" w:rsidRDefault="001E3949" w:rsidP="00F1524A">
      <w:pPr>
        <w:tabs>
          <w:tab w:val="center" w:pos="4536"/>
          <w:tab w:val="right" w:pos="9072"/>
        </w:tabs>
      </w:pPr>
      <w:r w:rsidRPr="001E3949">
        <w:t>Předmětem plnění</w:t>
      </w:r>
      <w:r>
        <w:t xml:space="preserve"> </w:t>
      </w:r>
      <w:r>
        <w:t>veřejné zakázky</w:t>
      </w:r>
      <w:r w:rsidRPr="001E3949">
        <w:t xml:space="preserve"> je poskytování odborných služeb za účelem rozvoje modelu </w:t>
      </w:r>
      <w:r>
        <w:t xml:space="preserve">již </w:t>
      </w:r>
      <w:r w:rsidRPr="001E3949">
        <w:t xml:space="preserve">existujícího modelu, udržení a zkvalitnění principů podnikové architektury (EA) v prostředí </w:t>
      </w:r>
      <w:r>
        <w:t>statutárního města Brna (dále jen „SMB“),</w:t>
      </w:r>
      <w:r w:rsidRPr="001E3949">
        <w:t xml:space="preserve"> dále </w:t>
      </w:r>
      <w:r w:rsidR="000A782D" w:rsidRPr="000A782D">
        <w:t xml:space="preserve">se jedná </w:t>
      </w:r>
      <w:r w:rsidRPr="001E3949">
        <w:t>o průběžné poskytování odborných služeb metodického dohledu a řízení kvality při zpracování dílčích celků podnikové architektury a další odborná a metodická podpora pracovníků SMB.</w:t>
      </w:r>
    </w:p>
    <w:p w14:paraId="1E2CAC58" w14:textId="77777777" w:rsidR="005B4D80" w:rsidRDefault="005B4D80" w:rsidP="00F1524A">
      <w:pPr>
        <w:tabs>
          <w:tab w:val="center" w:pos="4536"/>
          <w:tab w:val="right" w:pos="9072"/>
        </w:tabs>
      </w:pPr>
    </w:p>
    <w:p w14:paraId="32DC7BB2" w14:textId="77777777" w:rsidR="00A21EFF" w:rsidRDefault="00DE68F1" w:rsidP="00F1524A">
      <w:pPr>
        <w:tabs>
          <w:tab w:val="center" w:pos="4536"/>
          <w:tab w:val="right" w:pos="9072"/>
        </w:tabs>
      </w:pPr>
      <w:r w:rsidRPr="00DE68F1">
        <w:t>V rámci poskytování těchto služeb budou poskytovány činnosti minimálně následujícího rozsahu:</w:t>
      </w:r>
    </w:p>
    <w:p w14:paraId="4F821954" w14:textId="77777777" w:rsidR="005B4D80" w:rsidRDefault="005B4D80" w:rsidP="005B4D80">
      <w:pPr>
        <w:pStyle w:val="Odstavecseseznamem"/>
        <w:numPr>
          <w:ilvl w:val="0"/>
          <w:numId w:val="19"/>
        </w:numPr>
        <w:tabs>
          <w:tab w:val="center" w:pos="4536"/>
          <w:tab w:val="right" w:pos="9072"/>
        </w:tabs>
        <w:ind w:left="567"/>
      </w:pPr>
      <w:r>
        <w:t>monitoring aktuálních standardů a technických a technologických řešení v oblasti odborných služeb a návrhy jejich aplikace do prostředí SMB</w:t>
      </w:r>
      <w:r w:rsidR="00E333E1">
        <w:t>;</w:t>
      </w:r>
    </w:p>
    <w:p w14:paraId="4D129829" w14:textId="77777777" w:rsidR="005B4D80" w:rsidRDefault="005B4D80" w:rsidP="005B4D80">
      <w:pPr>
        <w:tabs>
          <w:tab w:val="center" w:pos="4536"/>
          <w:tab w:val="right" w:pos="9072"/>
        </w:tabs>
      </w:pPr>
      <w:r>
        <w:t xml:space="preserve">2)      </w:t>
      </w:r>
      <w:r w:rsidR="00605A21">
        <w:t xml:space="preserve"> </w:t>
      </w:r>
      <w:r>
        <w:t>monitoring platné legislativy v oblasti dotýkající se EA</w:t>
      </w:r>
      <w:r w:rsidR="00E333E1">
        <w:t>;</w:t>
      </w:r>
    </w:p>
    <w:p w14:paraId="5D644545" w14:textId="77777777" w:rsidR="005B4D80" w:rsidRDefault="005B4D80" w:rsidP="005B4D80">
      <w:pPr>
        <w:tabs>
          <w:tab w:val="center" w:pos="4536"/>
          <w:tab w:val="right" w:pos="9072"/>
        </w:tabs>
      </w:pPr>
      <w:r>
        <w:t xml:space="preserve">3)     návrhy závazných architektonických standardů a principů pro návrh a vývoj ICT systémů v prostředí </w:t>
      </w:r>
      <w:r w:rsidR="00E333E1">
        <w:t xml:space="preserve">        </w:t>
      </w:r>
      <w:r>
        <w:t>SMB</w:t>
      </w:r>
      <w:r w:rsidR="00E333E1">
        <w:t>;</w:t>
      </w:r>
    </w:p>
    <w:p w14:paraId="6AC242E1" w14:textId="77777777" w:rsidR="005B4D80" w:rsidRDefault="005B4D80" w:rsidP="005B4D80">
      <w:pPr>
        <w:tabs>
          <w:tab w:val="center" w:pos="4536"/>
          <w:tab w:val="right" w:pos="9072"/>
        </w:tabs>
      </w:pPr>
      <w:r>
        <w:t>4)     průběžná revize aktuálních architektonických standardů SMB v souladu s nově budovanými celky a funkcionalitami</w:t>
      </w:r>
      <w:r w:rsidR="00E333E1">
        <w:t>;</w:t>
      </w:r>
    </w:p>
    <w:p w14:paraId="398C9146" w14:textId="77777777" w:rsidR="005B4D80" w:rsidRDefault="005B4D80" w:rsidP="005B4D80">
      <w:pPr>
        <w:tabs>
          <w:tab w:val="center" w:pos="4536"/>
          <w:tab w:val="right" w:pos="9072"/>
        </w:tabs>
      </w:pPr>
      <w:r>
        <w:t xml:space="preserve">5)      </w:t>
      </w:r>
      <w:r w:rsidR="00605A21">
        <w:t xml:space="preserve"> </w:t>
      </w:r>
      <w:r>
        <w:t xml:space="preserve">návrhy komplexní </w:t>
      </w:r>
      <w:r w:rsidR="00E333E1">
        <w:t>EA</w:t>
      </w:r>
      <w:r>
        <w:t xml:space="preserve"> a koncepce stavu </w:t>
      </w:r>
      <w:r w:rsidR="00E333E1">
        <w:t>EA</w:t>
      </w:r>
      <w:r>
        <w:t xml:space="preserve"> SMB se zaměřením na klíčové oblasti</w:t>
      </w:r>
      <w:r w:rsidR="00E333E1">
        <w:t>;</w:t>
      </w:r>
    </w:p>
    <w:p w14:paraId="60ADF49B" w14:textId="77777777" w:rsidR="005B4D80" w:rsidRDefault="005B4D80" w:rsidP="005B4D80">
      <w:pPr>
        <w:tabs>
          <w:tab w:val="center" w:pos="4536"/>
          <w:tab w:val="right" w:pos="9072"/>
        </w:tabs>
      </w:pPr>
      <w:r>
        <w:t xml:space="preserve">6)      </w:t>
      </w:r>
      <w:r w:rsidR="00605A21">
        <w:t xml:space="preserve"> </w:t>
      </w:r>
      <w:r>
        <w:t>evangelizace principů a standardů EA v prostředí SMB</w:t>
      </w:r>
      <w:r w:rsidR="00E333E1">
        <w:t xml:space="preserve"> a</w:t>
      </w:r>
      <w:r>
        <w:t xml:space="preserve"> zavádění těchto do praxe</w:t>
      </w:r>
      <w:r w:rsidR="00E333E1">
        <w:t>;</w:t>
      </w:r>
    </w:p>
    <w:p w14:paraId="0C8DD7C5" w14:textId="77777777" w:rsidR="005B4D80" w:rsidRDefault="005B4D80" w:rsidP="005B4D80">
      <w:pPr>
        <w:tabs>
          <w:tab w:val="center" w:pos="4536"/>
          <w:tab w:val="right" w:pos="9072"/>
        </w:tabs>
      </w:pPr>
      <w:r>
        <w:t xml:space="preserve">7)      </w:t>
      </w:r>
      <w:r w:rsidR="00605A21">
        <w:t xml:space="preserve"> </w:t>
      </w:r>
      <w:r>
        <w:t>spolupráce při organizování přípravy ICT prostředí SMB pro realizaci ICT projektů využitím nástrojů EA</w:t>
      </w:r>
      <w:r w:rsidR="00E333E1">
        <w:t>;</w:t>
      </w:r>
    </w:p>
    <w:p w14:paraId="389B64E7" w14:textId="77777777" w:rsidR="005B4D80" w:rsidRDefault="00E333E1" w:rsidP="005B4D80">
      <w:pPr>
        <w:tabs>
          <w:tab w:val="center" w:pos="4536"/>
          <w:tab w:val="right" w:pos="9072"/>
        </w:tabs>
      </w:pPr>
      <w:r>
        <w:t xml:space="preserve">8)    </w:t>
      </w:r>
      <w:r w:rsidR="00605A21">
        <w:t xml:space="preserve"> </w:t>
      </w:r>
      <w:r w:rsidR="005B4D80">
        <w:t xml:space="preserve">dozorování a revize návrhů řešení ICT, zejména pak souladu s architektonickými standardy SMB na úrovni technologické, aplikační i </w:t>
      </w:r>
      <w:r>
        <w:t>procesní vrstvy;</w:t>
      </w:r>
    </w:p>
    <w:p w14:paraId="3C7ABE92" w14:textId="77777777" w:rsidR="005B4D80" w:rsidRDefault="00E333E1" w:rsidP="005B4D80">
      <w:pPr>
        <w:tabs>
          <w:tab w:val="center" w:pos="4536"/>
          <w:tab w:val="right" w:pos="9072"/>
        </w:tabs>
      </w:pPr>
      <w:r>
        <w:t xml:space="preserve">9)     </w:t>
      </w:r>
      <w:r w:rsidR="005B4D80">
        <w:t>řízení, aktualizace a rozv</w:t>
      </w:r>
      <w:r>
        <w:t>oj architektonického modelu SMB.</w:t>
      </w:r>
      <w:r w:rsidR="005B4D80">
        <w:t xml:space="preserve"> </w:t>
      </w:r>
      <w:r>
        <w:t>Ř</w:t>
      </w:r>
      <w:r w:rsidR="005B4D80">
        <w:t>ízení a koordinace aktivit dodavatelů v rámci aktualizace modelu</w:t>
      </w:r>
      <w:r>
        <w:t>;</w:t>
      </w:r>
    </w:p>
    <w:p w14:paraId="4BEDB9E9" w14:textId="77777777" w:rsidR="005B4D80" w:rsidRDefault="005B4D80" w:rsidP="005B4D80">
      <w:pPr>
        <w:tabs>
          <w:tab w:val="center" w:pos="4536"/>
          <w:tab w:val="right" w:pos="9072"/>
        </w:tabs>
      </w:pPr>
      <w:r>
        <w:t>10)     poskytování vstupů do dokumentace veřejných zakázek, zejména požadavků vycházejících z předmětné služby a jejich souladu s platnou legislativou</w:t>
      </w:r>
      <w:r w:rsidR="00E333E1">
        <w:t>;</w:t>
      </w:r>
    </w:p>
    <w:p w14:paraId="7A01F56F" w14:textId="77777777" w:rsidR="005B4D80" w:rsidRDefault="00E333E1" w:rsidP="005B4D80">
      <w:pPr>
        <w:tabs>
          <w:tab w:val="center" w:pos="4536"/>
          <w:tab w:val="right" w:pos="9072"/>
        </w:tabs>
      </w:pPr>
      <w:r>
        <w:t xml:space="preserve">11)   </w:t>
      </w:r>
      <w:r w:rsidR="00605A21">
        <w:t xml:space="preserve"> </w:t>
      </w:r>
      <w:r w:rsidR="005B4D80">
        <w:t>posuzování a připomínkování přípravné a realizační dokumentace projektů a provozní dokumentace z pohledu EA</w:t>
      </w:r>
      <w:r>
        <w:t>;</w:t>
      </w:r>
    </w:p>
    <w:p w14:paraId="3831A2B4" w14:textId="77777777" w:rsidR="005B4D80" w:rsidRDefault="00E333E1" w:rsidP="005B4D80">
      <w:pPr>
        <w:tabs>
          <w:tab w:val="center" w:pos="4536"/>
          <w:tab w:val="right" w:pos="9072"/>
        </w:tabs>
      </w:pPr>
      <w:r>
        <w:t xml:space="preserve">12)   </w:t>
      </w:r>
      <w:r w:rsidR="005B4D80">
        <w:t>poskytování součinnosti v souladu s předmětnou službou při plánování, navrhování a řešení vývoje a změn ICT systémů a technologických řešení</w:t>
      </w:r>
      <w:r>
        <w:t>;</w:t>
      </w:r>
    </w:p>
    <w:p w14:paraId="633BA523" w14:textId="77777777" w:rsidR="00A21EFF" w:rsidRDefault="00E333E1" w:rsidP="005B4D80">
      <w:pPr>
        <w:tabs>
          <w:tab w:val="center" w:pos="4536"/>
          <w:tab w:val="right" w:pos="9072"/>
        </w:tabs>
      </w:pPr>
      <w:r>
        <w:t xml:space="preserve">13)    </w:t>
      </w:r>
      <w:r w:rsidR="005B4D80">
        <w:t>poskytování součinnosti při tvorbě a udržování metodiky a interních předpisů SMB.</w:t>
      </w:r>
    </w:p>
    <w:p w14:paraId="023B1014" w14:textId="77777777" w:rsidR="00F17F73" w:rsidRDefault="00F17F73" w:rsidP="005B4D80">
      <w:pPr>
        <w:tabs>
          <w:tab w:val="center" w:pos="4536"/>
          <w:tab w:val="right" w:pos="9072"/>
        </w:tabs>
      </w:pPr>
    </w:p>
    <w:p w14:paraId="2EE47302" w14:textId="77777777" w:rsidR="005B4D80" w:rsidRDefault="005B4D80" w:rsidP="005B4D80">
      <w:pPr>
        <w:tabs>
          <w:tab w:val="center" w:pos="4536"/>
          <w:tab w:val="right" w:pos="9072"/>
        </w:tabs>
      </w:pPr>
      <w:r>
        <w:lastRenderedPageBreak/>
        <w:t xml:space="preserve">Výstupem služeb bude realizace aktivit vedoucích k podpoře EA SMB se zaměřením na klíčové oblasti informační podpory města. </w:t>
      </w:r>
    </w:p>
    <w:p w14:paraId="0D1CDFDC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 xml:space="preserve">Služby budou vždy poskytovány na základě požadavků (dílčích objednávek) </w:t>
      </w:r>
      <w:r w:rsidR="00605A21">
        <w:t>SMB</w:t>
      </w:r>
      <w:r w:rsidRPr="00605A21">
        <w:t xml:space="preserve">, které budou zahrnovat realizaci konkrétních požadavků a potřeb v souladu s předmětnými službami. Poskytování těchto služeb je vždy podmíněno doručením objednávky dodavateli od </w:t>
      </w:r>
      <w:r w:rsidR="00605A21">
        <w:t>SMB</w:t>
      </w:r>
      <w:r w:rsidRPr="00605A21">
        <w:t>.</w:t>
      </w:r>
    </w:p>
    <w:p w14:paraId="27C4B405" w14:textId="77777777" w:rsidR="00B145DD" w:rsidRDefault="00B145DD" w:rsidP="00E333E1">
      <w:pPr>
        <w:tabs>
          <w:tab w:val="center" w:pos="4536"/>
          <w:tab w:val="right" w:pos="9072"/>
        </w:tabs>
      </w:pPr>
    </w:p>
    <w:p w14:paraId="403AE707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 xml:space="preserve">Předpokládaný postup bude takový, že </w:t>
      </w:r>
      <w:r w:rsidR="00605A21">
        <w:t>SMB</w:t>
      </w:r>
      <w:r w:rsidRPr="00605A21">
        <w:t xml:space="preserve"> definuje základní zadání v předmětné oblasti služeb. Toto zadání zašle elektronicky dodavateli, který do týdne od obdržení zadání zareaguje návrhem řešení v osnově:</w:t>
      </w:r>
    </w:p>
    <w:p w14:paraId="2EBDCEC3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>1.      Zadání</w:t>
      </w:r>
    </w:p>
    <w:p w14:paraId="42B1D2CD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>2.      Stručný popis řešení</w:t>
      </w:r>
    </w:p>
    <w:p w14:paraId="3AF0D2A6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 xml:space="preserve">3.      Předpokládaná pracnost v </w:t>
      </w:r>
      <w:r w:rsidRPr="00D7672A">
        <w:t>MD</w:t>
      </w:r>
    </w:p>
    <w:p w14:paraId="43CDEB6B" w14:textId="77777777" w:rsidR="00E333E1" w:rsidRPr="00605A21" w:rsidRDefault="00E333E1" w:rsidP="00E333E1">
      <w:pPr>
        <w:tabs>
          <w:tab w:val="center" w:pos="4536"/>
          <w:tab w:val="right" w:pos="9072"/>
        </w:tabs>
      </w:pPr>
      <w:r w:rsidRPr="00605A21">
        <w:t xml:space="preserve">4.      Předpokládaná doba trvání prací, v případě složitého zadání </w:t>
      </w:r>
      <w:r w:rsidR="00BA7996">
        <w:t>předložení hrubého</w:t>
      </w:r>
      <w:r w:rsidRPr="00605A21">
        <w:t xml:space="preserve"> harmonogram</w:t>
      </w:r>
      <w:r w:rsidR="00BA7996">
        <w:t>u</w:t>
      </w:r>
    </w:p>
    <w:p w14:paraId="4DCD3BCA" w14:textId="77777777" w:rsidR="00DE68F1" w:rsidRDefault="00DE68F1" w:rsidP="00E333E1">
      <w:pPr>
        <w:tabs>
          <w:tab w:val="center" w:pos="4536"/>
          <w:tab w:val="right" w:pos="9072"/>
        </w:tabs>
      </w:pPr>
    </w:p>
    <w:p w14:paraId="557B9F01" w14:textId="77777777" w:rsidR="00E333E1" w:rsidRDefault="00605A21" w:rsidP="00E333E1">
      <w:pPr>
        <w:tabs>
          <w:tab w:val="center" w:pos="4536"/>
          <w:tab w:val="right" w:pos="9072"/>
        </w:tabs>
      </w:pPr>
      <w:r>
        <w:t>SMB</w:t>
      </w:r>
      <w:r w:rsidR="00E333E1" w:rsidRPr="00605A21">
        <w:t xml:space="preserve"> návrh posoudí, případně zkonzultuje na projektové schůzce a následně elektronicky požádá dodavatele o závaznou nabídku řešení. Tuto nabídku pak dle uvážení akceptuje a vydá závaznou objednávku, kterou v písemné podobě předá vedoucímu realizačního týmu dodavatele.</w:t>
      </w:r>
    </w:p>
    <w:p w14:paraId="028FD56A" w14:textId="77777777" w:rsidR="00F1524A" w:rsidRDefault="00F1524A" w:rsidP="00F1524A">
      <w:pPr>
        <w:tabs>
          <w:tab w:val="center" w:pos="4536"/>
          <w:tab w:val="right" w:pos="9072"/>
        </w:tabs>
      </w:pPr>
    </w:p>
    <w:p w14:paraId="62FAF422" w14:textId="77777777" w:rsidR="00685CFA" w:rsidRPr="00685CFA" w:rsidRDefault="00685CFA" w:rsidP="00F1524A">
      <w:pPr>
        <w:tabs>
          <w:tab w:val="center" w:pos="4536"/>
          <w:tab w:val="right" w:pos="9072"/>
        </w:tabs>
        <w:rPr>
          <w:u w:val="single"/>
        </w:rPr>
      </w:pPr>
      <w:r w:rsidRPr="00685CFA">
        <w:rPr>
          <w:u w:val="single"/>
        </w:rPr>
        <w:t>Požadavky zadavatele na prokázání kvalifikace dodavatele:</w:t>
      </w:r>
    </w:p>
    <w:p w14:paraId="5074B822" w14:textId="77777777" w:rsidR="00604B49" w:rsidRDefault="00604B49" w:rsidP="00685CFA">
      <w:pPr>
        <w:tabs>
          <w:tab w:val="center" w:pos="4536"/>
          <w:tab w:val="right" w:pos="9072"/>
        </w:tabs>
      </w:pPr>
      <w:r>
        <w:t>Dodavatel, který bude podávat nabídku na tuto veřejn</w:t>
      </w:r>
      <w:r w:rsidR="00366AFF">
        <w:t>o</w:t>
      </w:r>
      <w:r>
        <w:t>u zakázku musí prokázat, že jeho zaměstnanci realizačního týmu disponují níže uvedenými opr</w:t>
      </w:r>
      <w:r w:rsidR="00366AFF">
        <w:t>á</w:t>
      </w:r>
      <w:r>
        <w:t>vněními</w:t>
      </w:r>
    </w:p>
    <w:p w14:paraId="28C8E3E5" w14:textId="77777777" w:rsidR="00685CFA" w:rsidRDefault="00685CFA" w:rsidP="00685CFA">
      <w:pPr>
        <w:tabs>
          <w:tab w:val="center" w:pos="4536"/>
          <w:tab w:val="right" w:pos="9072"/>
        </w:tabs>
      </w:pPr>
      <w:r>
        <w:t>a) řádně ukončené minimálně středoškolské vzdělání s maturitou;</w:t>
      </w:r>
    </w:p>
    <w:p w14:paraId="3DDB7F1D" w14:textId="77777777" w:rsidR="00685CFA" w:rsidRDefault="00685CFA" w:rsidP="00685CFA">
      <w:pPr>
        <w:tabs>
          <w:tab w:val="center" w:pos="4536"/>
          <w:tab w:val="right" w:pos="9072"/>
        </w:tabs>
      </w:pPr>
      <w:r>
        <w:t xml:space="preserve">b) </w:t>
      </w:r>
      <w:r>
        <w:tab/>
        <w:t>prokazatelná praxe v oblasti zajišťování tvorby architektury a koncepce ICT u organizace podobného typu</w:t>
      </w:r>
      <w:r w:rsidR="00604B49">
        <w:t xml:space="preserve"> v délce jeden rok</w:t>
      </w:r>
    </w:p>
    <w:p w14:paraId="28A85AD8" w14:textId="77777777" w:rsidR="00685CFA" w:rsidRDefault="00685CFA" w:rsidP="00685CFA">
      <w:pPr>
        <w:tabs>
          <w:tab w:val="center" w:pos="4536"/>
          <w:tab w:val="right" w:pos="9072"/>
        </w:tabs>
      </w:pPr>
      <w:r>
        <w:t>c) platný certifikát TOGAF</w:t>
      </w:r>
    </w:p>
    <w:p w14:paraId="5DB1EC1B" w14:textId="77777777" w:rsidR="00685CFA" w:rsidRDefault="00685CFA" w:rsidP="00685CFA">
      <w:pPr>
        <w:tabs>
          <w:tab w:val="center" w:pos="4536"/>
          <w:tab w:val="right" w:pos="9072"/>
        </w:tabs>
      </w:pPr>
      <w:r>
        <w:t>d) platný certifikát ArchiMate</w:t>
      </w:r>
    </w:p>
    <w:p w14:paraId="0DBBA745" w14:textId="77777777" w:rsidR="00685CFA" w:rsidRDefault="00685CFA" w:rsidP="00685CFA">
      <w:pPr>
        <w:tabs>
          <w:tab w:val="center" w:pos="4536"/>
          <w:tab w:val="right" w:pos="9072"/>
        </w:tabs>
      </w:pPr>
      <w:r>
        <w:t>e) platný certifikát ITIL</w:t>
      </w:r>
    </w:p>
    <w:p w14:paraId="730CC546" w14:textId="77777777" w:rsidR="00685CFA" w:rsidRDefault="00685CFA" w:rsidP="00685CFA">
      <w:pPr>
        <w:tabs>
          <w:tab w:val="center" w:pos="4536"/>
          <w:tab w:val="right" w:pos="9072"/>
        </w:tabs>
      </w:pPr>
      <w:r>
        <w:t>f) znalost české legislativy pro oblast podnikové architektury</w:t>
      </w:r>
    </w:p>
    <w:p w14:paraId="4BF90C02" w14:textId="77777777" w:rsidR="00685CFA" w:rsidRDefault="00685CFA" w:rsidP="00685CFA">
      <w:pPr>
        <w:tabs>
          <w:tab w:val="center" w:pos="4536"/>
          <w:tab w:val="right" w:pos="9072"/>
        </w:tabs>
      </w:pPr>
      <w:r>
        <w:t xml:space="preserve">g) </w:t>
      </w:r>
      <w:r>
        <w:tab/>
        <w:t>znalost tvorby podkladů, výstupů a další dokumentace v českém jazyce na odborné úrovni a dobré komunikační schopnosti</w:t>
      </w:r>
      <w:r w:rsidR="00604B49">
        <w:t xml:space="preserve"> – nutno prokázat profesním životopisem alespoň jednoho člena realizačního týmu</w:t>
      </w:r>
    </w:p>
    <w:p w14:paraId="2C4E930D" w14:textId="77777777" w:rsidR="00685CFA" w:rsidRDefault="00685CFA" w:rsidP="00685CFA">
      <w:pPr>
        <w:tabs>
          <w:tab w:val="center" w:pos="4536"/>
          <w:tab w:val="right" w:pos="9072"/>
        </w:tabs>
      </w:pPr>
      <w:r>
        <w:t xml:space="preserve">h) </w:t>
      </w:r>
      <w:r>
        <w:tab/>
        <w:t>znalost českého jazyka – ústně i písemně (případně zajistí uchazeč na vlastní náklady překladatele)</w:t>
      </w:r>
    </w:p>
    <w:p w14:paraId="5D6C29E5" w14:textId="77777777" w:rsidR="00685CFA" w:rsidRDefault="00685CFA" w:rsidP="00F1524A">
      <w:pPr>
        <w:tabs>
          <w:tab w:val="center" w:pos="4536"/>
          <w:tab w:val="right" w:pos="9072"/>
        </w:tabs>
      </w:pPr>
    </w:p>
    <w:p w14:paraId="19901DAC" w14:textId="77777777" w:rsidR="00366AFF" w:rsidRDefault="00366AFF" w:rsidP="00F1524A">
      <w:pPr>
        <w:tabs>
          <w:tab w:val="center" w:pos="4536"/>
          <w:tab w:val="right" w:pos="9072"/>
        </w:tabs>
      </w:pPr>
      <w:r w:rsidRPr="00366AFF">
        <w:t>Bližší specifikace kvalifikačních požadavků zadavatele</w:t>
      </w:r>
      <w:r>
        <w:t xml:space="preserve"> je uvedena v </w:t>
      </w:r>
      <w:r w:rsidR="005B1D2A">
        <w:t>P</w:t>
      </w:r>
      <w:r>
        <w:t>říloze č.1 výzvy k podání nabídek.</w:t>
      </w:r>
    </w:p>
    <w:p w14:paraId="48CEFD0A" w14:textId="77777777" w:rsidR="00366AFF" w:rsidRDefault="00366AFF" w:rsidP="00F1524A">
      <w:pPr>
        <w:tabs>
          <w:tab w:val="center" w:pos="4536"/>
          <w:tab w:val="right" w:pos="9072"/>
        </w:tabs>
      </w:pPr>
    </w:p>
    <w:p w14:paraId="47CE5341" w14:textId="77777777" w:rsidR="00615C31" w:rsidRDefault="00615C31" w:rsidP="00615C31">
      <w:pPr>
        <w:rPr>
          <w:u w:val="single"/>
        </w:rPr>
      </w:pPr>
      <w:r>
        <w:rPr>
          <w:u w:val="single"/>
        </w:rPr>
        <w:t>Předložené nabídky musí obsahovat tyto náležitosti:</w:t>
      </w:r>
    </w:p>
    <w:p w14:paraId="515CD0A9" w14:textId="77777777" w:rsidR="00615C31" w:rsidRDefault="00615C31" w:rsidP="00615C31">
      <w:pPr>
        <w:ind w:left="360"/>
      </w:pPr>
    </w:p>
    <w:p w14:paraId="226BC6BA" w14:textId="44CA52E5" w:rsidR="00F804AD" w:rsidRDefault="00F804AD" w:rsidP="00F804AD">
      <w:pPr>
        <w:widowControl w:val="0"/>
        <w:numPr>
          <w:ilvl w:val="0"/>
          <w:numId w:val="12"/>
        </w:numPr>
        <w:spacing w:line="240" w:lineRule="auto"/>
        <w:ind w:left="1068" w:hanging="360"/>
      </w:pPr>
      <w:r w:rsidRPr="00F804AD">
        <w:t>cenu za jednu člověkohodinu prací, Cenu uvést s DPH, bez DPH a sazbu DPH.</w:t>
      </w:r>
    </w:p>
    <w:p w14:paraId="39A43D62" w14:textId="77777777" w:rsidR="00D14BF9" w:rsidRDefault="00D14BF9" w:rsidP="00D14BF9">
      <w:pPr>
        <w:widowControl w:val="0"/>
        <w:spacing w:line="240" w:lineRule="auto"/>
        <w:ind w:left="1068"/>
      </w:pPr>
    </w:p>
    <w:p w14:paraId="6CD3B523" w14:textId="77777777" w:rsidR="00D14BF9" w:rsidRDefault="00D14BF9" w:rsidP="0019024C">
      <w:pPr>
        <w:widowControl w:val="0"/>
        <w:numPr>
          <w:ilvl w:val="0"/>
          <w:numId w:val="12"/>
        </w:numPr>
        <w:spacing w:line="240" w:lineRule="auto"/>
        <w:ind w:left="1068" w:hanging="360"/>
      </w:pPr>
      <w:r w:rsidRPr="00326DF3">
        <w:t xml:space="preserve">doba splatnosti </w:t>
      </w:r>
      <w:r>
        <w:t xml:space="preserve">daňových dokladů bude 30 dnů ode dne </w:t>
      </w:r>
      <w:r w:rsidRPr="00326DF3">
        <w:t>doručení zadavateli</w:t>
      </w:r>
      <w:r w:rsidR="00CE7B44">
        <w:t>;</w:t>
      </w:r>
    </w:p>
    <w:p w14:paraId="10D8E612" w14:textId="77777777" w:rsidR="004757DA" w:rsidRDefault="004757DA" w:rsidP="004757DA">
      <w:pPr>
        <w:widowControl w:val="0"/>
        <w:spacing w:line="240" w:lineRule="auto"/>
        <w:ind w:left="1068"/>
      </w:pPr>
    </w:p>
    <w:p w14:paraId="6BFEF8CF" w14:textId="77777777" w:rsidR="006B23B8" w:rsidRDefault="0019024C" w:rsidP="0019024C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návrh smlouvy na plnění předmětu veřejné zakázky, ve smlouvě dodavatel doplní identifikační údaje v záhlaví, nabídkovou cenu a 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(tj. dodavatel nemusí v rámci nabídky předkládat podepsaný návrh smlouvy</w:t>
      </w:r>
      <w:r>
        <w:t xml:space="preserve"> – postačí návrh smlouvy s doplněnými údaji);</w:t>
      </w:r>
    </w:p>
    <w:p w14:paraId="4330EC66" w14:textId="77777777" w:rsidR="00CE7B44" w:rsidRDefault="00CE7B44" w:rsidP="00F804AD">
      <w:pPr>
        <w:widowControl w:val="0"/>
        <w:spacing w:line="240" w:lineRule="auto"/>
      </w:pPr>
    </w:p>
    <w:p w14:paraId="46E9CD5C" w14:textId="0AE90BC2" w:rsidR="00CE7B44" w:rsidRDefault="00604B49" w:rsidP="0018047D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kopie dokladů a údajů</w:t>
      </w:r>
      <w:r w:rsidR="00F8578E">
        <w:t xml:space="preserve"> prokazující</w:t>
      </w:r>
      <w:r w:rsidR="004E29E2">
        <w:t>ch</w:t>
      </w:r>
      <w:r w:rsidR="00CE7B44">
        <w:t xml:space="preserve"> splnění </w:t>
      </w:r>
      <w:r w:rsidR="0018047D">
        <w:t xml:space="preserve">požadavků </w:t>
      </w:r>
      <w:r w:rsidR="00225883">
        <w:t xml:space="preserve">na reference dodavatele a </w:t>
      </w:r>
      <w:r w:rsidR="0018047D">
        <w:t>na</w:t>
      </w:r>
      <w:r w:rsidR="0018047D" w:rsidRPr="0018047D">
        <w:t xml:space="preserve"> </w:t>
      </w:r>
      <w:r w:rsidR="0018047D">
        <w:t>kvalifikaci</w:t>
      </w:r>
      <w:r w:rsidR="00CE7B44">
        <w:t xml:space="preserve"> týmu dodavatele;</w:t>
      </w:r>
    </w:p>
    <w:p w14:paraId="12782721" w14:textId="77777777" w:rsidR="00C06C78" w:rsidRDefault="00C06C78" w:rsidP="00225883"/>
    <w:p w14:paraId="2681D543" w14:textId="77777777" w:rsidR="00C06C78" w:rsidRPr="00C06C78" w:rsidRDefault="00C06C78" w:rsidP="00CA17FC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s</w:t>
      </w:r>
      <w:r w:rsidRPr="00C06C78">
        <w:t xml:space="preserve">eznam členů </w:t>
      </w:r>
      <w:r>
        <w:t xml:space="preserve">realizačního </w:t>
      </w:r>
      <w:r w:rsidRPr="00C06C78">
        <w:t>týmu s požadovanými informacemi</w:t>
      </w:r>
      <w:r w:rsidR="00FD20D5">
        <w:t xml:space="preserve"> dle P</w:t>
      </w:r>
      <w:r w:rsidR="00CA17FC">
        <w:t xml:space="preserve">řílohy č. 1 výzvy k podání nabídek. </w:t>
      </w:r>
      <w:r w:rsidR="00CA17FC" w:rsidRPr="00CA17FC">
        <w:t>Jedna osoba nemůže současně zastávat několik pracovních pozic.</w:t>
      </w:r>
    </w:p>
    <w:p w14:paraId="5DDF2EA0" w14:textId="77777777" w:rsidR="00CE7B44" w:rsidRDefault="00CE7B44" w:rsidP="00C06C78">
      <w:pPr>
        <w:widowControl w:val="0"/>
        <w:spacing w:line="240" w:lineRule="auto"/>
      </w:pPr>
    </w:p>
    <w:p w14:paraId="0ED67AA4" w14:textId="77777777" w:rsidR="00C50810" w:rsidRDefault="00CE7B44" w:rsidP="00F804AD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seznam poddodavatelů se specifikací jejich podílu plnění, pokud dodavatel předpokládá využití poddodavatele.</w:t>
      </w:r>
    </w:p>
    <w:p w14:paraId="552BB12E" w14:textId="77777777" w:rsidR="00C50810" w:rsidRDefault="00C50810" w:rsidP="00C50810">
      <w:pPr>
        <w:pStyle w:val="Odstavecseseznamem"/>
      </w:pPr>
    </w:p>
    <w:p w14:paraId="135D1ED9" w14:textId="11123FAA" w:rsidR="00F804AD" w:rsidRPr="00F804AD" w:rsidRDefault="00F804AD" w:rsidP="00F804AD">
      <w:pPr>
        <w:widowControl w:val="0"/>
        <w:numPr>
          <w:ilvl w:val="0"/>
          <w:numId w:val="12"/>
        </w:numPr>
        <w:spacing w:line="240" w:lineRule="auto"/>
        <w:ind w:left="1068" w:hanging="360"/>
      </w:pPr>
      <w:r w:rsidRPr="00F804AD">
        <w:t>souhlas od stávajících autorů modelu k poskytnutí autorských práv k vytvořenému dílu (tedy již existujícímu modelu EA)</w:t>
      </w:r>
      <w:r w:rsidR="00C50810">
        <w:t>.</w:t>
      </w:r>
    </w:p>
    <w:p w14:paraId="408D1826" w14:textId="77777777" w:rsidR="00F804AD" w:rsidRDefault="00F804AD" w:rsidP="00615C31"/>
    <w:p w14:paraId="23273D02" w14:textId="77777777" w:rsidR="00F804AD" w:rsidRDefault="00F804AD" w:rsidP="00615C31"/>
    <w:p w14:paraId="5A14112F" w14:textId="77777777" w:rsidR="00615C31" w:rsidRDefault="00615C31" w:rsidP="00615C31">
      <w:pPr>
        <w:rPr>
          <w:u w:val="single"/>
        </w:rPr>
      </w:pPr>
      <w:r>
        <w:rPr>
          <w:u w:val="single"/>
        </w:rPr>
        <w:t>Způsob hodnocení nabídek:</w:t>
      </w:r>
    </w:p>
    <w:p w14:paraId="4EE41DC0" w14:textId="77777777" w:rsidR="00615C31" w:rsidRDefault="00615C31" w:rsidP="00615C31">
      <w:pPr>
        <w:rPr>
          <w:u w:val="single"/>
        </w:rPr>
      </w:pPr>
    </w:p>
    <w:p w14:paraId="20563B40" w14:textId="77777777" w:rsidR="002F5411" w:rsidRDefault="00615C31" w:rsidP="00615C31">
      <w:r>
        <w:t>Zadavatel stanovil, že základním hodnotícím kritériem je n</w:t>
      </w:r>
      <w:r w:rsidR="0016122A">
        <w:t>ejnižší</w:t>
      </w:r>
      <w:r w:rsidR="002F5411">
        <w:t xml:space="preserve"> </w:t>
      </w:r>
      <w:r w:rsidRPr="002F5411">
        <w:t>nabídková cena</w:t>
      </w:r>
      <w:r w:rsidR="009768E8" w:rsidRPr="002F5411">
        <w:t xml:space="preserve"> </w:t>
      </w:r>
      <w:r w:rsidR="0019024C">
        <w:t xml:space="preserve">za 1 člověkohodinu </w:t>
      </w:r>
      <w:r w:rsidR="004757DA">
        <w:t xml:space="preserve">poskytovaných </w:t>
      </w:r>
      <w:r w:rsidR="0019024C">
        <w:t>služeb bez DPH</w:t>
      </w:r>
      <w:r w:rsidR="0016122A">
        <w:t>.</w:t>
      </w:r>
    </w:p>
    <w:p w14:paraId="272BBA54" w14:textId="77777777" w:rsidR="00A21EFF" w:rsidRDefault="00A21EFF" w:rsidP="00615C31">
      <w:bookmarkStart w:id="1" w:name="_gjdgxs" w:colFirst="0" w:colLast="0"/>
      <w:bookmarkEnd w:id="1"/>
    </w:p>
    <w:p w14:paraId="5524B24E" w14:textId="77777777" w:rsidR="00AD1D9F" w:rsidRDefault="00615C31" w:rsidP="00615C31">
      <w:pPr>
        <w:rPr>
          <w:b/>
          <w:bCs/>
        </w:rPr>
      </w:pPr>
      <w:r w:rsidRPr="00E42FA6">
        <w:t>Nabídky</w:t>
      </w:r>
      <w:r w:rsidR="00F1524A">
        <w:t xml:space="preserve"> prosím podejte nejpozději do </w:t>
      </w:r>
      <w:r w:rsidR="00377477" w:rsidRPr="00A52A73">
        <w:rPr>
          <w:b/>
          <w:bCs/>
        </w:rPr>
        <w:t>28</w:t>
      </w:r>
      <w:r w:rsidR="00DB1848" w:rsidRPr="00A52A73">
        <w:rPr>
          <w:b/>
          <w:bCs/>
        </w:rPr>
        <w:t xml:space="preserve">. </w:t>
      </w:r>
      <w:r w:rsidR="00377477" w:rsidRPr="00A52A73">
        <w:rPr>
          <w:b/>
          <w:bCs/>
        </w:rPr>
        <w:t>08</w:t>
      </w:r>
      <w:r w:rsidR="00FA7A9D" w:rsidRPr="00A52A73">
        <w:rPr>
          <w:b/>
          <w:bCs/>
        </w:rPr>
        <w:t>. 202</w:t>
      </w:r>
      <w:r w:rsidR="00F42DEC" w:rsidRPr="00A52A73">
        <w:rPr>
          <w:b/>
          <w:bCs/>
        </w:rPr>
        <w:t>5</w:t>
      </w:r>
      <w:r w:rsidRPr="00A52A73">
        <w:rPr>
          <w:b/>
          <w:bCs/>
        </w:rPr>
        <w:t xml:space="preserve"> do 10:00 hod.</w:t>
      </w:r>
    </w:p>
    <w:p w14:paraId="4FD53FD7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7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42FEEAFB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48896AC9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5AD2856C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5955695C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3CB7C231" w14:textId="77777777" w:rsidR="00AD1D9F" w:rsidRPr="00887F04" w:rsidRDefault="00AD1D9F" w:rsidP="00AD1D9F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9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70A1AE7C" w14:textId="77777777" w:rsidR="00AD1D9F" w:rsidRPr="004823F7" w:rsidRDefault="00AD1D9F" w:rsidP="00AD1D9F">
      <w:pPr>
        <w:rPr>
          <w:color w:val="auto"/>
        </w:rPr>
      </w:pPr>
    </w:p>
    <w:p w14:paraId="6C078080" w14:textId="44661234" w:rsidR="004757DA" w:rsidRPr="00AD1D9F" w:rsidRDefault="00AD1D9F" w:rsidP="00A20EBD">
      <w:pPr>
        <w:rPr>
          <w:color w:val="auto"/>
        </w:rPr>
      </w:pPr>
      <w:r w:rsidRPr="004823F7">
        <w:rPr>
          <w:color w:val="auto"/>
        </w:rPr>
        <w:t>Náklady spojené s účastí ve výběrovém řízení nese každý účastník sám. Zadavatel si vyhrazuje právo výběrové řízení kdykoliv bez udání důvodu zrušit.</w:t>
      </w:r>
    </w:p>
    <w:p w14:paraId="76D99573" w14:textId="77777777" w:rsidR="000D5DE9" w:rsidRDefault="000D5DE9" w:rsidP="00A20EBD"/>
    <w:p w14:paraId="14474CCC" w14:textId="77777777" w:rsidR="004757DA" w:rsidRDefault="004757DA" w:rsidP="004757DA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0E59F6DE" w14:textId="77777777" w:rsidR="00F8578E" w:rsidRDefault="00F8578E" w:rsidP="004757DA">
      <w:pPr>
        <w:rPr>
          <w:b/>
          <w:color w:val="FF0000"/>
          <w:sz w:val="16"/>
          <w:szCs w:val="16"/>
        </w:rPr>
      </w:pPr>
      <w:r w:rsidRPr="00D7672A">
        <w:rPr>
          <w:rFonts w:eastAsia="Times New Roman" w:cs="Times New Roman"/>
          <w:lang w:eastAsia="cs-CZ"/>
        </w:rPr>
        <w:t>Příloha č. 1 -</w:t>
      </w:r>
      <w:r>
        <w:rPr>
          <w:rFonts w:eastAsia="Times New Roman" w:cs="Times New Roman"/>
          <w:lang w:eastAsia="cs-CZ"/>
        </w:rPr>
        <w:t xml:space="preserve"> </w:t>
      </w:r>
      <w:r w:rsidR="00E027A6" w:rsidRPr="00E027A6">
        <w:rPr>
          <w:rFonts w:eastAsia="Times New Roman" w:cs="Times New Roman"/>
          <w:lang w:eastAsia="cs-CZ"/>
        </w:rPr>
        <w:t>Bližší specifikace kvalifikačních požadavků zadavatele</w:t>
      </w:r>
    </w:p>
    <w:p w14:paraId="2C606470" w14:textId="77777777" w:rsidR="004757DA" w:rsidRPr="00F8578E" w:rsidRDefault="004757DA" w:rsidP="00A20EBD">
      <w:pPr>
        <w:contextualSpacing/>
        <w:rPr>
          <w:rFonts w:eastAsia="Times New Roman" w:cs="Times New Roman"/>
          <w:lang w:eastAsia="cs-CZ"/>
        </w:rPr>
      </w:pPr>
      <w:r w:rsidRPr="00C0127D">
        <w:rPr>
          <w:rFonts w:eastAsia="Times New Roman" w:cs="Times New Roman"/>
          <w:lang w:eastAsia="cs-CZ"/>
        </w:rPr>
        <w:t xml:space="preserve">Příloha č. </w:t>
      </w:r>
      <w:r w:rsidR="00F8578E">
        <w:rPr>
          <w:rFonts w:eastAsia="Times New Roman" w:cs="Times New Roman"/>
          <w:lang w:eastAsia="cs-CZ"/>
        </w:rPr>
        <w:t>2 – Návrh smlouvy</w:t>
      </w:r>
    </w:p>
    <w:sectPr w:rsidR="004757DA" w:rsidRPr="00F8578E" w:rsidSect="008C5493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7489" w14:textId="77777777" w:rsidR="00B9722E" w:rsidRDefault="00B9722E" w:rsidP="0018303A">
      <w:pPr>
        <w:spacing w:line="240" w:lineRule="auto"/>
      </w:pPr>
      <w:r>
        <w:separator/>
      </w:r>
    </w:p>
  </w:endnote>
  <w:endnote w:type="continuationSeparator" w:id="0">
    <w:p w14:paraId="345ED62B" w14:textId="77777777" w:rsidR="00B9722E" w:rsidRDefault="00B9722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0629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2F4F2864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0ACD4CF0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504C10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3AD9F35" wp14:editId="06C16496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9AF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18AAE024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6E6572F8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99A31BC" wp14:editId="3B72E5DE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504C10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7A18" w14:textId="77777777" w:rsidR="00B9722E" w:rsidRDefault="00B9722E" w:rsidP="0018303A">
      <w:pPr>
        <w:spacing w:line="240" w:lineRule="auto"/>
      </w:pPr>
      <w:r>
        <w:separator/>
      </w:r>
    </w:p>
  </w:footnote>
  <w:footnote w:type="continuationSeparator" w:id="0">
    <w:p w14:paraId="7FB1D605" w14:textId="77777777" w:rsidR="00B9722E" w:rsidRDefault="00B9722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18C8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443C880A" wp14:editId="613BAE4A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29BCE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0140097A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10B8466B" w14:textId="77777777" w:rsidR="00F228CC" w:rsidRDefault="00F228CC">
    <w:pPr>
      <w:pStyle w:val="Zhlav"/>
    </w:pPr>
  </w:p>
  <w:p w14:paraId="08723A16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7C6A"/>
    <w:multiLevelType w:val="hybridMultilevel"/>
    <w:tmpl w:val="42E6CEFA"/>
    <w:lvl w:ilvl="0" w:tplc="614C123E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9E0DE0"/>
    <w:multiLevelType w:val="hybridMultilevel"/>
    <w:tmpl w:val="D400B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24226"/>
    <w:multiLevelType w:val="hybridMultilevel"/>
    <w:tmpl w:val="0192B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A701D"/>
    <w:multiLevelType w:val="hybridMultilevel"/>
    <w:tmpl w:val="A5B48472"/>
    <w:lvl w:ilvl="0" w:tplc="0A468FFE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18516026">
    <w:abstractNumId w:val="8"/>
  </w:num>
  <w:num w:numId="2" w16cid:durableId="1671133045">
    <w:abstractNumId w:val="3"/>
  </w:num>
  <w:num w:numId="3" w16cid:durableId="463236470">
    <w:abstractNumId w:val="2"/>
  </w:num>
  <w:num w:numId="4" w16cid:durableId="853107530">
    <w:abstractNumId w:val="1"/>
  </w:num>
  <w:num w:numId="5" w16cid:durableId="1471248373">
    <w:abstractNumId w:val="0"/>
  </w:num>
  <w:num w:numId="6" w16cid:durableId="883523447">
    <w:abstractNumId w:val="9"/>
  </w:num>
  <w:num w:numId="7" w16cid:durableId="97607261">
    <w:abstractNumId w:val="7"/>
  </w:num>
  <w:num w:numId="8" w16cid:durableId="1840733263">
    <w:abstractNumId w:val="6"/>
  </w:num>
  <w:num w:numId="9" w16cid:durableId="1349984400">
    <w:abstractNumId w:val="5"/>
  </w:num>
  <w:num w:numId="10" w16cid:durableId="696080311">
    <w:abstractNumId w:val="4"/>
  </w:num>
  <w:num w:numId="11" w16cid:durableId="878276342">
    <w:abstractNumId w:val="14"/>
  </w:num>
  <w:num w:numId="12" w16cid:durableId="175309240">
    <w:abstractNumId w:val="19"/>
  </w:num>
  <w:num w:numId="13" w16cid:durableId="1177381754">
    <w:abstractNumId w:val="18"/>
  </w:num>
  <w:num w:numId="14" w16cid:durableId="404452090">
    <w:abstractNumId w:val="16"/>
  </w:num>
  <w:num w:numId="15" w16cid:durableId="1253393999">
    <w:abstractNumId w:val="15"/>
  </w:num>
  <w:num w:numId="16" w16cid:durableId="562765003">
    <w:abstractNumId w:val="17"/>
  </w:num>
  <w:num w:numId="17" w16cid:durableId="779253572">
    <w:abstractNumId w:val="11"/>
  </w:num>
  <w:num w:numId="18" w16cid:durableId="330105338">
    <w:abstractNumId w:val="13"/>
  </w:num>
  <w:num w:numId="19" w16cid:durableId="2024279835">
    <w:abstractNumId w:val="10"/>
  </w:num>
  <w:num w:numId="20" w16cid:durableId="112135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34493"/>
    <w:rsid w:val="00040452"/>
    <w:rsid w:val="00041778"/>
    <w:rsid w:val="00045A6B"/>
    <w:rsid w:val="00077C50"/>
    <w:rsid w:val="000967EF"/>
    <w:rsid w:val="000A782D"/>
    <w:rsid w:val="000B6B63"/>
    <w:rsid w:val="000C4FE4"/>
    <w:rsid w:val="000C55A6"/>
    <w:rsid w:val="000D488B"/>
    <w:rsid w:val="000D5DE9"/>
    <w:rsid w:val="00102259"/>
    <w:rsid w:val="0012193E"/>
    <w:rsid w:val="00130166"/>
    <w:rsid w:val="00135980"/>
    <w:rsid w:val="001418EB"/>
    <w:rsid w:val="001524C4"/>
    <w:rsid w:val="0016122A"/>
    <w:rsid w:val="001724F7"/>
    <w:rsid w:val="001759A7"/>
    <w:rsid w:val="0018047D"/>
    <w:rsid w:val="0018303A"/>
    <w:rsid w:val="0019024C"/>
    <w:rsid w:val="001946C5"/>
    <w:rsid w:val="001D3E20"/>
    <w:rsid w:val="001E3949"/>
    <w:rsid w:val="00217AF7"/>
    <w:rsid w:val="00225883"/>
    <w:rsid w:val="00232427"/>
    <w:rsid w:val="002401BD"/>
    <w:rsid w:val="0024060C"/>
    <w:rsid w:val="002422EB"/>
    <w:rsid w:val="00267205"/>
    <w:rsid w:val="00267537"/>
    <w:rsid w:val="002827ED"/>
    <w:rsid w:val="00284095"/>
    <w:rsid w:val="0028525E"/>
    <w:rsid w:val="00286AC5"/>
    <w:rsid w:val="002A398E"/>
    <w:rsid w:val="002D0D4B"/>
    <w:rsid w:val="002E300B"/>
    <w:rsid w:val="002E76EE"/>
    <w:rsid w:val="002F0A6E"/>
    <w:rsid w:val="002F5411"/>
    <w:rsid w:val="00302C4D"/>
    <w:rsid w:val="00345C8A"/>
    <w:rsid w:val="003621BB"/>
    <w:rsid w:val="003650C8"/>
    <w:rsid w:val="00366AFF"/>
    <w:rsid w:val="00370FF8"/>
    <w:rsid w:val="003734F4"/>
    <w:rsid w:val="00376823"/>
    <w:rsid w:val="00377477"/>
    <w:rsid w:val="00394D75"/>
    <w:rsid w:val="00394F66"/>
    <w:rsid w:val="003C7EA6"/>
    <w:rsid w:val="003D4B20"/>
    <w:rsid w:val="003F3B4E"/>
    <w:rsid w:val="004069DE"/>
    <w:rsid w:val="00407AD5"/>
    <w:rsid w:val="004133C6"/>
    <w:rsid w:val="0042272F"/>
    <w:rsid w:val="00445797"/>
    <w:rsid w:val="00453519"/>
    <w:rsid w:val="00461742"/>
    <w:rsid w:val="00467FCD"/>
    <w:rsid w:val="004757DA"/>
    <w:rsid w:val="004A48D6"/>
    <w:rsid w:val="004B412A"/>
    <w:rsid w:val="004C2776"/>
    <w:rsid w:val="004D7717"/>
    <w:rsid w:val="004E29E2"/>
    <w:rsid w:val="004E5AD0"/>
    <w:rsid w:val="004E5B33"/>
    <w:rsid w:val="00504C10"/>
    <w:rsid w:val="005064F1"/>
    <w:rsid w:val="00511FC1"/>
    <w:rsid w:val="00514B6E"/>
    <w:rsid w:val="005156A4"/>
    <w:rsid w:val="00545F28"/>
    <w:rsid w:val="00564E4E"/>
    <w:rsid w:val="00577A0C"/>
    <w:rsid w:val="005B1D2A"/>
    <w:rsid w:val="005B4D80"/>
    <w:rsid w:val="005C0A44"/>
    <w:rsid w:val="005C30CD"/>
    <w:rsid w:val="005C4995"/>
    <w:rsid w:val="005E11BB"/>
    <w:rsid w:val="00601251"/>
    <w:rsid w:val="00604B49"/>
    <w:rsid w:val="00605A21"/>
    <w:rsid w:val="00615329"/>
    <w:rsid w:val="00615C31"/>
    <w:rsid w:val="00620AD3"/>
    <w:rsid w:val="00644837"/>
    <w:rsid w:val="006478EC"/>
    <w:rsid w:val="006543C2"/>
    <w:rsid w:val="00656404"/>
    <w:rsid w:val="0067254A"/>
    <w:rsid w:val="0068074F"/>
    <w:rsid w:val="00682B19"/>
    <w:rsid w:val="00684FE5"/>
    <w:rsid w:val="00685703"/>
    <w:rsid w:val="00685CFA"/>
    <w:rsid w:val="006975C7"/>
    <w:rsid w:val="006A3FBB"/>
    <w:rsid w:val="006B23B8"/>
    <w:rsid w:val="006B34E8"/>
    <w:rsid w:val="006D4B4D"/>
    <w:rsid w:val="006E09B8"/>
    <w:rsid w:val="006E287A"/>
    <w:rsid w:val="006E65A6"/>
    <w:rsid w:val="006F25BE"/>
    <w:rsid w:val="00726093"/>
    <w:rsid w:val="00744D43"/>
    <w:rsid w:val="00750FC1"/>
    <w:rsid w:val="00751B9B"/>
    <w:rsid w:val="00765370"/>
    <w:rsid w:val="00772C76"/>
    <w:rsid w:val="00780A83"/>
    <w:rsid w:val="007921E3"/>
    <w:rsid w:val="007B1F97"/>
    <w:rsid w:val="007E24D5"/>
    <w:rsid w:val="00804513"/>
    <w:rsid w:val="008120DD"/>
    <w:rsid w:val="008178A8"/>
    <w:rsid w:val="00846431"/>
    <w:rsid w:val="00853736"/>
    <w:rsid w:val="00854FB9"/>
    <w:rsid w:val="00856555"/>
    <w:rsid w:val="0087066D"/>
    <w:rsid w:val="00874A3B"/>
    <w:rsid w:val="00892FF5"/>
    <w:rsid w:val="008C5493"/>
    <w:rsid w:val="008D4103"/>
    <w:rsid w:val="008E30D4"/>
    <w:rsid w:val="00900004"/>
    <w:rsid w:val="00902E11"/>
    <w:rsid w:val="00904157"/>
    <w:rsid w:val="009068F4"/>
    <w:rsid w:val="0091285D"/>
    <w:rsid w:val="00914E46"/>
    <w:rsid w:val="009258F0"/>
    <w:rsid w:val="009408D1"/>
    <w:rsid w:val="009426C5"/>
    <w:rsid w:val="0095545A"/>
    <w:rsid w:val="00964D84"/>
    <w:rsid w:val="00967C28"/>
    <w:rsid w:val="009768E8"/>
    <w:rsid w:val="0098587D"/>
    <w:rsid w:val="009A2C3D"/>
    <w:rsid w:val="009A685B"/>
    <w:rsid w:val="009E3F44"/>
    <w:rsid w:val="009E43AB"/>
    <w:rsid w:val="009F6893"/>
    <w:rsid w:val="00A00883"/>
    <w:rsid w:val="00A20EBD"/>
    <w:rsid w:val="00A21EFF"/>
    <w:rsid w:val="00A46C6C"/>
    <w:rsid w:val="00A52A73"/>
    <w:rsid w:val="00A63CEF"/>
    <w:rsid w:val="00A82CA4"/>
    <w:rsid w:val="00A857EB"/>
    <w:rsid w:val="00A87651"/>
    <w:rsid w:val="00AB07EC"/>
    <w:rsid w:val="00AD1D9F"/>
    <w:rsid w:val="00AE31D4"/>
    <w:rsid w:val="00AE6FB2"/>
    <w:rsid w:val="00B0341A"/>
    <w:rsid w:val="00B04D01"/>
    <w:rsid w:val="00B11578"/>
    <w:rsid w:val="00B145DD"/>
    <w:rsid w:val="00B14999"/>
    <w:rsid w:val="00B20A02"/>
    <w:rsid w:val="00B338BC"/>
    <w:rsid w:val="00B347AF"/>
    <w:rsid w:val="00B51C2A"/>
    <w:rsid w:val="00B52470"/>
    <w:rsid w:val="00B55B76"/>
    <w:rsid w:val="00B601B1"/>
    <w:rsid w:val="00B64224"/>
    <w:rsid w:val="00B66EF3"/>
    <w:rsid w:val="00B7217C"/>
    <w:rsid w:val="00B748BD"/>
    <w:rsid w:val="00B76C73"/>
    <w:rsid w:val="00B770D3"/>
    <w:rsid w:val="00B9722E"/>
    <w:rsid w:val="00BA50DE"/>
    <w:rsid w:val="00BA7996"/>
    <w:rsid w:val="00BC373F"/>
    <w:rsid w:val="00BC4092"/>
    <w:rsid w:val="00BD747F"/>
    <w:rsid w:val="00BE4518"/>
    <w:rsid w:val="00BF4190"/>
    <w:rsid w:val="00C06C78"/>
    <w:rsid w:val="00C25741"/>
    <w:rsid w:val="00C50810"/>
    <w:rsid w:val="00C529A1"/>
    <w:rsid w:val="00CA17FC"/>
    <w:rsid w:val="00CA4103"/>
    <w:rsid w:val="00CB5E9C"/>
    <w:rsid w:val="00CD4399"/>
    <w:rsid w:val="00CD736E"/>
    <w:rsid w:val="00CE3161"/>
    <w:rsid w:val="00CE7B44"/>
    <w:rsid w:val="00CE7DDE"/>
    <w:rsid w:val="00D11B87"/>
    <w:rsid w:val="00D12729"/>
    <w:rsid w:val="00D14BF9"/>
    <w:rsid w:val="00D20F3D"/>
    <w:rsid w:val="00D26D02"/>
    <w:rsid w:val="00D30C00"/>
    <w:rsid w:val="00D66BFD"/>
    <w:rsid w:val="00D7672A"/>
    <w:rsid w:val="00D80164"/>
    <w:rsid w:val="00D92A5D"/>
    <w:rsid w:val="00DB1848"/>
    <w:rsid w:val="00DB78E5"/>
    <w:rsid w:val="00DC22DD"/>
    <w:rsid w:val="00DC479F"/>
    <w:rsid w:val="00DC53C4"/>
    <w:rsid w:val="00DD27C1"/>
    <w:rsid w:val="00DE465B"/>
    <w:rsid w:val="00DE68F1"/>
    <w:rsid w:val="00DF18C1"/>
    <w:rsid w:val="00DF7C2A"/>
    <w:rsid w:val="00E027A6"/>
    <w:rsid w:val="00E04875"/>
    <w:rsid w:val="00E16CC8"/>
    <w:rsid w:val="00E203F7"/>
    <w:rsid w:val="00E2149A"/>
    <w:rsid w:val="00E333E1"/>
    <w:rsid w:val="00E36CB4"/>
    <w:rsid w:val="00E371BB"/>
    <w:rsid w:val="00E42FA6"/>
    <w:rsid w:val="00E8097D"/>
    <w:rsid w:val="00EC6E37"/>
    <w:rsid w:val="00EF0219"/>
    <w:rsid w:val="00EF7059"/>
    <w:rsid w:val="00F02EDD"/>
    <w:rsid w:val="00F07CEE"/>
    <w:rsid w:val="00F12567"/>
    <w:rsid w:val="00F1524A"/>
    <w:rsid w:val="00F17679"/>
    <w:rsid w:val="00F17F73"/>
    <w:rsid w:val="00F228CC"/>
    <w:rsid w:val="00F22E6A"/>
    <w:rsid w:val="00F42DEC"/>
    <w:rsid w:val="00F51395"/>
    <w:rsid w:val="00F804AD"/>
    <w:rsid w:val="00F8578E"/>
    <w:rsid w:val="00FA05C8"/>
    <w:rsid w:val="00FA7A9D"/>
    <w:rsid w:val="00FB4804"/>
    <w:rsid w:val="00FC2461"/>
    <w:rsid w:val="00FC71B3"/>
    <w:rsid w:val="00FD20D5"/>
    <w:rsid w:val="00FE0D5C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D9305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manu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k.brno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pora@ez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16</cp:revision>
  <dcterms:created xsi:type="dcterms:W3CDTF">2025-08-21T07:34:00Z</dcterms:created>
  <dcterms:modified xsi:type="dcterms:W3CDTF">2025-08-21T10:42:00Z</dcterms:modified>
</cp:coreProperties>
</file>