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477EC0"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281368" w:rsidRPr="004E5CD2">
        <w:tab/>
      </w:r>
      <w:r w:rsidR="0000795A">
        <w:rPr>
          <w:rFonts w:ascii="Tahoma" w:hAnsi="Tahoma" w:cs="Tahoma"/>
          <w:b/>
          <w:sz w:val="20"/>
          <w:szCs w:val="20"/>
        </w:rPr>
        <w:t>Brno, Kopečná - odstranění havarijního stavu</w:t>
      </w:r>
      <w:bookmarkStart w:id="0" w:name="_GoBack"/>
      <w:bookmarkEnd w:id="0"/>
      <w:r w:rsidR="00281368" w:rsidRPr="004E5CD2">
        <w:tab/>
      </w:r>
      <w:r w:rsidR="00281368" w:rsidRPr="004E5CD2"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F0D92"/>
    <w:rsid w:val="00103922"/>
    <w:rsid w:val="00155159"/>
    <w:rsid w:val="001715AC"/>
    <w:rsid w:val="00281368"/>
    <w:rsid w:val="002834AC"/>
    <w:rsid w:val="002D7FAA"/>
    <w:rsid w:val="002E65C6"/>
    <w:rsid w:val="003F79F1"/>
    <w:rsid w:val="004335A3"/>
    <w:rsid w:val="00477EC0"/>
    <w:rsid w:val="004E5CD2"/>
    <w:rsid w:val="005141B6"/>
    <w:rsid w:val="00525538"/>
    <w:rsid w:val="00570A78"/>
    <w:rsid w:val="0063759C"/>
    <w:rsid w:val="00646BA7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D25CBB"/>
    <w:rsid w:val="00D921B1"/>
    <w:rsid w:val="00E342D3"/>
    <w:rsid w:val="00EA64C9"/>
    <w:rsid w:val="00EF4D22"/>
    <w:rsid w:val="00F11464"/>
    <w:rsid w:val="00F73263"/>
    <w:rsid w:val="00F82C78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12</cp:revision>
  <dcterms:created xsi:type="dcterms:W3CDTF">2021-03-29T19:11:00Z</dcterms:created>
  <dcterms:modified xsi:type="dcterms:W3CDTF">2022-02-18T07:20:00Z</dcterms:modified>
</cp:coreProperties>
</file>