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199B" w14:textId="77777777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8437DA">
        <w:rPr>
          <w:b/>
          <w:bCs/>
          <w:sz w:val="24"/>
          <w:szCs w:val="24"/>
        </w:rPr>
        <w:t>6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Pr="00362D69">
        <w:rPr>
          <w:b/>
          <w:bCs/>
          <w:sz w:val="24"/>
          <w:szCs w:val="24"/>
        </w:rPr>
        <w:t>ČESTNÉ</w:t>
      </w:r>
      <w:r w:rsidR="00B24A81">
        <w:rPr>
          <w:b/>
          <w:bCs/>
          <w:sz w:val="24"/>
          <w:szCs w:val="24"/>
        </w:rPr>
        <w:t>HO</w:t>
      </w:r>
      <w:r w:rsidRPr="00362D69">
        <w:rPr>
          <w:b/>
          <w:bCs/>
          <w:spacing w:val="-12"/>
          <w:sz w:val="24"/>
          <w:szCs w:val="24"/>
        </w:rPr>
        <w:t xml:space="preserve"> </w:t>
      </w:r>
      <w:r w:rsidRPr="00362D69">
        <w:rPr>
          <w:b/>
          <w:bCs/>
          <w:sz w:val="24"/>
          <w:szCs w:val="24"/>
        </w:rPr>
        <w:t>PROHLÁŠENÍ O SPLNĚNÍ PODMÍNEK ÚČASTI</w:t>
      </w:r>
    </w:p>
    <w:p w14:paraId="60DA26F9" w14:textId="77777777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commentRangeStart w:id="0"/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982AE1" w:rsidRPr="00982AE1">
        <w:rPr>
          <w:b/>
          <w:bCs/>
          <w:color w:val="231F20"/>
        </w:rPr>
        <w:t xml:space="preserve">Pocta královně Elišce </w:t>
      </w:r>
      <w:proofErr w:type="spellStart"/>
      <w:r w:rsidR="00982AE1" w:rsidRPr="00982AE1">
        <w:rPr>
          <w:b/>
          <w:bCs/>
          <w:color w:val="231F20"/>
        </w:rPr>
        <w:t>Rejčce</w:t>
      </w:r>
      <w:proofErr w:type="spellEnd"/>
      <w:r w:rsidR="00982AE1" w:rsidRPr="00982AE1">
        <w:rPr>
          <w:b/>
          <w:bCs/>
          <w:color w:val="231F20"/>
        </w:rPr>
        <w:t xml:space="preserve"> na Starém Brně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zadavatele Statutární město Brno, se sídlem Dominikánské náměstí 196/1, 602</w:t>
      </w:r>
      <w:r w:rsidR="0021230B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00 Brno, IČO: 449 92</w:t>
      </w:r>
      <w:r w:rsidR="001B07C4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785</w:t>
      </w:r>
      <w:r w:rsidR="001B07C4">
        <w:rPr>
          <w:color w:val="231F20"/>
          <w:highlight w:val="yellow"/>
        </w:rPr>
        <w:t xml:space="preserve"> </w:t>
      </w:r>
      <w:r w:rsidR="004A6CE4">
        <w:rPr>
          <w:color w:val="231F20"/>
          <w:highlight w:val="yellow"/>
        </w:rPr>
        <w:t>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2C160C3B" w14:textId="77777777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64DFEAE1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7D42A375" w14:textId="77777777" w:rsidR="001B07C4" w:rsidRDefault="008B1989" w:rsidP="001B07C4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  <w:r w:rsidRPr="00946434">
        <w:rPr>
          <w:color w:val="231F20"/>
          <w:highlight w:val="yellow"/>
        </w:rPr>
        <w:t xml:space="preserve">Já, níže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>účastník soutěže o návrh s názvem „</w:t>
      </w:r>
      <w:r w:rsidR="00303B10" w:rsidRPr="00982AE1">
        <w:rPr>
          <w:b/>
          <w:bCs/>
          <w:color w:val="231F20"/>
        </w:rPr>
        <w:t xml:space="preserve">Pocta královně Elišce </w:t>
      </w:r>
      <w:proofErr w:type="spellStart"/>
      <w:r w:rsidR="00303B10" w:rsidRPr="00982AE1">
        <w:rPr>
          <w:b/>
          <w:bCs/>
          <w:color w:val="231F20"/>
        </w:rPr>
        <w:t>Rejčce</w:t>
      </w:r>
      <w:proofErr w:type="spellEnd"/>
      <w:r w:rsidR="00303B10" w:rsidRPr="00982AE1">
        <w:rPr>
          <w:b/>
          <w:bCs/>
          <w:color w:val="231F20"/>
        </w:rPr>
        <w:t xml:space="preserve"> na Starém Brně</w:t>
      </w:r>
      <w:r w:rsidR="00303B10" w:rsidRPr="00946434">
        <w:rPr>
          <w:color w:val="231F20"/>
          <w:highlight w:val="yellow"/>
        </w:rPr>
        <w:t xml:space="preserve"> </w:t>
      </w:r>
      <w:r w:rsidR="001B07C4" w:rsidRPr="00946434">
        <w:rPr>
          <w:color w:val="231F20"/>
          <w:highlight w:val="yellow"/>
        </w:rPr>
        <w:t>"</w:t>
      </w:r>
      <w:r w:rsidR="001B07C4">
        <w:rPr>
          <w:color w:val="231F20"/>
          <w:highlight w:val="yellow"/>
        </w:rPr>
        <w:t xml:space="preserve"> zadavatele Statutární město Brno, se sídlem Dominikánské náměstí 196/1, 602 00 Brno, IČO: 449 92 785 (dále jen „</w:t>
      </w:r>
      <w:r w:rsidR="001B07C4" w:rsidRPr="00D221DE">
        <w:rPr>
          <w:b/>
          <w:bCs/>
          <w:color w:val="231F20"/>
          <w:highlight w:val="yellow"/>
        </w:rPr>
        <w:t>Zadavatel</w:t>
      </w:r>
      <w:r w:rsidR="001B07C4">
        <w:rPr>
          <w:color w:val="231F20"/>
          <w:highlight w:val="yellow"/>
        </w:rPr>
        <w:t>“)</w:t>
      </w:r>
      <w:commentRangeEnd w:id="0"/>
      <w:r w:rsidR="00895369">
        <w:rPr>
          <w:rStyle w:val="Odkaznakoment"/>
        </w:rPr>
        <w:commentReference w:id="0"/>
      </w:r>
    </w:p>
    <w:p w14:paraId="0085CB06" w14:textId="77777777" w:rsidR="001B07C4" w:rsidRDefault="001B07C4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27CA610D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19F9E839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234E900A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17F889BE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34C8FF66" w14:textId="77777777" w:rsidR="008B1989" w:rsidRPr="00362D69" w:rsidRDefault="008B1989" w:rsidP="00CC18B5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commentRangeStart w:id="1"/>
      <w:commentRangeStart w:id="2"/>
      <w:r w:rsidRPr="00362D69">
        <w:rPr>
          <w:color w:val="211D1E"/>
          <w:sz w:val="20"/>
          <w:szCs w:val="20"/>
        </w:rPr>
        <w:t>nikdo z autorů, popř. spoluautorů soutěžního návrhu a jejich spolupracovníků uvedených v</w:t>
      </w:r>
      <w:r w:rsidR="007B46F1">
        <w:rPr>
          <w:color w:val="211D1E"/>
          <w:sz w:val="20"/>
          <w:szCs w:val="20"/>
        </w:rPr>
        <w:t> žádosti o účast (popř. v rámci potvrzení účasti</w:t>
      </w:r>
      <w:r w:rsidR="00A301E5">
        <w:rPr>
          <w:color w:val="211D1E"/>
          <w:sz w:val="20"/>
          <w:szCs w:val="20"/>
        </w:rPr>
        <w:t>, j</w:t>
      </w:r>
      <w:r w:rsidR="007B46F1">
        <w:rPr>
          <w:color w:val="211D1E"/>
          <w:sz w:val="20"/>
          <w:szCs w:val="20"/>
        </w:rPr>
        <w:t>de-li o vyzvané účastníky Soutěže)</w:t>
      </w:r>
      <w:r w:rsidRPr="00362D69">
        <w:rPr>
          <w:color w:val="211D1E"/>
          <w:sz w:val="20"/>
          <w:szCs w:val="20"/>
        </w:rPr>
        <w:t xml:space="preserve"> </w:t>
      </w:r>
      <w:r w:rsidR="007B46F1">
        <w:rPr>
          <w:color w:val="211D1E"/>
          <w:sz w:val="20"/>
          <w:szCs w:val="20"/>
        </w:rPr>
        <w:t xml:space="preserve">v Soutěži </w:t>
      </w:r>
      <w:r w:rsidRPr="00362D69">
        <w:rPr>
          <w:color w:val="211D1E"/>
          <w:sz w:val="20"/>
          <w:szCs w:val="20"/>
        </w:rPr>
        <w:t>a v případě právnických osob též nikdo ze statutárních orgánů:</w:t>
      </w:r>
    </w:p>
    <w:p w14:paraId="1DFAC52F" w14:textId="77777777" w:rsidR="008B1989" w:rsidRPr="00362D69" w:rsidRDefault="008B1989" w:rsidP="00CC18B5">
      <w:pPr>
        <w:pStyle w:val="Default"/>
        <w:ind w:left="1257"/>
        <w:rPr>
          <w:color w:val="211D1E"/>
          <w:sz w:val="20"/>
          <w:szCs w:val="20"/>
        </w:rPr>
      </w:pPr>
    </w:p>
    <w:p w14:paraId="386B6518" w14:textId="7777777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 w:rsidRPr="008626B6">
        <w:rPr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362D69">
        <w:rPr>
          <w:sz w:val="20"/>
          <w:szCs w:val="20"/>
        </w:rPr>
        <w:t xml:space="preserve">; </w:t>
      </w:r>
    </w:p>
    <w:p w14:paraId="0B1210B8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4F18071C" w14:textId="77777777" w:rsidR="008B1989" w:rsidRPr="00362D69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sz w:val="20"/>
          <w:szCs w:val="20"/>
        </w:rPr>
      </w:pPr>
      <w:r>
        <w:rPr>
          <w:color w:val="231F20"/>
          <w:sz w:val="20"/>
          <w:szCs w:val="20"/>
        </w:rPr>
        <w:t>není osobou uvedenou v § 8 a 9 Soutěžního řádu České komory architektů,</w:t>
      </w:r>
      <w:r w:rsidRPr="006C3EF7">
        <w:rPr>
          <w:sz w:val="20"/>
          <w:szCs w:val="20"/>
        </w:rPr>
        <w:t xml:space="preserve"> </w:t>
      </w:r>
      <w:r w:rsidRPr="008626B6">
        <w:rPr>
          <w:sz w:val="20"/>
          <w:szCs w:val="20"/>
        </w:rPr>
        <w:t>s výjimkou osob, které připravovaly mapové nebo analytické podklady</w:t>
      </w:r>
      <w:r w:rsidR="008B1989" w:rsidRPr="00362D69">
        <w:rPr>
          <w:color w:val="231F20"/>
          <w:sz w:val="20"/>
          <w:szCs w:val="20"/>
        </w:rPr>
        <w:t>;</w:t>
      </w:r>
    </w:p>
    <w:p w14:paraId="67D593B6" w14:textId="77777777" w:rsidR="008B1989" w:rsidRPr="00362D69" w:rsidRDefault="008B1989" w:rsidP="00A336F9">
      <w:pPr>
        <w:pStyle w:val="Odstavecseseznamem"/>
        <w:tabs>
          <w:tab w:val="left" w:pos="1825"/>
        </w:tabs>
        <w:ind w:left="1824" w:right="295" w:firstLine="0"/>
        <w:rPr>
          <w:sz w:val="20"/>
          <w:szCs w:val="20"/>
        </w:rPr>
      </w:pPr>
    </w:p>
    <w:p w14:paraId="0790A575" w14:textId="77777777" w:rsidR="008B1989" w:rsidRPr="00362D69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 xml:space="preserve">není manželem, příbuzným, </w:t>
      </w:r>
      <w:proofErr w:type="spellStart"/>
      <w:r w:rsidRPr="008626B6">
        <w:rPr>
          <w:color w:val="231F20"/>
          <w:sz w:val="20"/>
          <w:szCs w:val="20"/>
        </w:rPr>
        <w:t>sešvagřeným</w:t>
      </w:r>
      <w:proofErr w:type="spellEnd"/>
      <w:r w:rsidRPr="008626B6">
        <w:rPr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>
        <w:rPr>
          <w:color w:val="231F20"/>
          <w:sz w:val="20"/>
          <w:szCs w:val="20"/>
        </w:rPr>
        <w:t>vyloučených osob</w:t>
      </w:r>
      <w:r w:rsidRPr="008626B6">
        <w:rPr>
          <w:color w:val="231F20"/>
          <w:sz w:val="20"/>
          <w:szCs w:val="20"/>
        </w:rPr>
        <w:t xml:space="preserve">, </w:t>
      </w:r>
    </w:p>
    <w:p w14:paraId="5328220A" w14:textId="77777777" w:rsidR="008B1989" w:rsidRPr="00362D69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sz w:val="20"/>
          <w:szCs w:val="20"/>
        </w:rPr>
      </w:pPr>
    </w:p>
    <w:p w14:paraId="45AEBDBD" w14:textId="77777777" w:rsidR="008B1989" w:rsidRPr="00362D69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sz w:val="20"/>
          <w:szCs w:val="20"/>
        </w:rPr>
      </w:pPr>
      <w:r w:rsidRPr="008626B6">
        <w:rPr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362D69">
        <w:rPr>
          <w:color w:val="231F20"/>
          <w:sz w:val="20"/>
          <w:szCs w:val="20"/>
        </w:rPr>
        <w:t>.</w:t>
      </w:r>
    </w:p>
    <w:p w14:paraId="5BB1C8E9" w14:textId="77777777" w:rsidR="008B1989" w:rsidRPr="00362D69" w:rsidRDefault="008B1989" w:rsidP="007B1E63">
      <w:pPr>
        <w:pStyle w:val="Zkladntext"/>
        <w:spacing w:before="10"/>
      </w:pPr>
    </w:p>
    <w:p w14:paraId="4E7576E6" w14:textId="77777777" w:rsidR="008B1989" w:rsidRPr="00362D69" w:rsidRDefault="002E3294" w:rsidP="005903DA">
      <w:pPr>
        <w:pStyle w:val="Default"/>
        <w:numPr>
          <w:ilvl w:val="0"/>
          <w:numId w:val="1"/>
        </w:numPr>
        <w:rPr>
          <w:color w:val="211D1E"/>
          <w:sz w:val="20"/>
          <w:szCs w:val="20"/>
        </w:rPr>
      </w:pPr>
      <w:r>
        <w:rPr>
          <w:color w:val="211D1E"/>
          <w:sz w:val="20"/>
          <w:szCs w:val="20"/>
        </w:rPr>
        <w:t>j</w:t>
      </w:r>
      <w:r w:rsidR="00762637">
        <w:rPr>
          <w:color w:val="211D1E"/>
          <w:sz w:val="20"/>
          <w:szCs w:val="20"/>
        </w:rPr>
        <w:t>e</w:t>
      </w:r>
      <w:r>
        <w:rPr>
          <w:color w:val="211D1E"/>
          <w:sz w:val="20"/>
          <w:szCs w:val="20"/>
        </w:rPr>
        <w:t xml:space="preserve"> způsobilým ve smyslu </w:t>
      </w:r>
      <w:r w:rsidR="008B1989" w:rsidRPr="00362D69">
        <w:rPr>
          <w:color w:val="211D1E"/>
          <w:sz w:val="20"/>
          <w:szCs w:val="20"/>
        </w:rPr>
        <w:t>§ 74</w:t>
      </w:r>
      <w:r>
        <w:rPr>
          <w:color w:val="211D1E"/>
          <w:sz w:val="20"/>
          <w:szCs w:val="20"/>
        </w:rPr>
        <w:t xml:space="preserve"> </w:t>
      </w:r>
      <w:r w:rsidR="008B1989" w:rsidRPr="00362D69">
        <w:rPr>
          <w:color w:val="211D1E"/>
          <w:sz w:val="20"/>
          <w:szCs w:val="20"/>
        </w:rPr>
        <w:t>zákona č. 134/2016 Sb., o zadávání veřejných zakázek, ve znění pozdějších předpisů</w:t>
      </w:r>
      <w:r>
        <w:rPr>
          <w:color w:val="211D1E"/>
          <w:sz w:val="20"/>
          <w:szCs w:val="20"/>
        </w:rPr>
        <w:t xml:space="preserve"> (dále jen „</w:t>
      </w:r>
      <w:r w:rsidRPr="00823365">
        <w:rPr>
          <w:b/>
          <w:bCs/>
          <w:color w:val="211D1E"/>
          <w:sz w:val="20"/>
          <w:szCs w:val="20"/>
        </w:rPr>
        <w:t>ZZVZ</w:t>
      </w:r>
      <w:r>
        <w:rPr>
          <w:color w:val="211D1E"/>
          <w:sz w:val="20"/>
          <w:szCs w:val="20"/>
        </w:rPr>
        <w:t>“)</w:t>
      </w:r>
      <w:r w:rsidR="008B1989" w:rsidRPr="00362D69">
        <w:rPr>
          <w:color w:val="211D1E"/>
          <w:sz w:val="20"/>
          <w:szCs w:val="20"/>
        </w:rPr>
        <w:t>;</w:t>
      </w:r>
      <w:commentRangeEnd w:id="1"/>
      <w:r w:rsidR="006B3779">
        <w:rPr>
          <w:rStyle w:val="Odkaznakoment"/>
          <w:color w:val="auto"/>
          <w:lang w:eastAsia="cs-CZ"/>
        </w:rPr>
        <w:commentReference w:id="1"/>
      </w:r>
    </w:p>
    <w:p w14:paraId="0B5F30BF" w14:textId="77777777" w:rsidR="008B1989" w:rsidRPr="00362D69" w:rsidRDefault="008B1989" w:rsidP="005903DA">
      <w:pPr>
        <w:pStyle w:val="Odstavecseseznamem"/>
        <w:tabs>
          <w:tab w:val="left" w:pos="1258"/>
        </w:tabs>
        <w:ind w:right="336" w:firstLine="0"/>
        <w:rPr>
          <w:sz w:val="20"/>
          <w:szCs w:val="20"/>
        </w:rPr>
      </w:pPr>
    </w:p>
    <w:p w14:paraId="5DDDC509" w14:textId="77777777" w:rsidR="008B1989" w:rsidRPr="002E3294" w:rsidRDefault="00B608CD" w:rsidP="00B608CD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362D69">
        <w:rPr>
          <w:color w:val="231F20"/>
          <w:sz w:val="20"/>
          <w:szCs w:val="20"/>
        </w:rPr>
        <w:t>splňuj</w:t>
      </w:r>
      <w:r w:rsidR="00762637">
        <w:rPr>
          <w:color w:val="231F20"/>
          <w:sz w:val="20"/>
          <w:szCs w:val="20"/>
        </w:rPr>
        <w:t>e</w:t>
      </w:r>
      <w:r w:rsidRPr="00362D69">
        <w:rPr>
          <w:color w:val="231F20"/>
          <w:sz w:val="20"/>
          <w:szCs w:val="20"/>
        </w:rPr>
        <w:t xml:space="preserve"> </w:t>
      </w:r>
      <w:r w:rsidR="002E3294">
        <w:rPr>
          <w:color w:val="231F20"/>
          <w:sz w:val="20"/>
          <w:szCs w:val="20"/>
        </w:rPr>
        <w:t>požadavek</w:t>
      </w:r>
      <w:r w:rsidRPr="00362D69">
        <w:rPr>
          <w:color w:val="231F20"/>
          <w:sz w:val="20"/>
          <w:szCs w:val="20"/>
        </w:rPr>
        <w:t xml:space="preserve"> dle § 77 odst. 1 </w:t>
      </w:r>
      <w:r w:rsidR="002E3294">
        <w:rPr>
          <w:color w:val="231F20"/>
          <w:sz w:val="20"/>
          <w:szCs w:val="20"/>
        </w:rPr>
        <w:t>ZZVZ</w:t>
      </w:r>
      <w:r w:rsidR="008B1989" w:rsidRPr="00362D69">
        <w:rPr>
          <w:color w:val="231F20"/>
          <w:sz w:val="20"/>
          <w:szCs w:val="20"/>
        </w:rPr>
        <w:t>;</w:t>
      </w:r>
      <w:commentRangeEnd w:id="2"/>
      <w:r w:rsidR="006B3779">
        <w:rPr>
          <w:rStyle w:val="Odkaznakoment"/>
          <w:color w:val="auto"/>
          <w:lang w:eastAsia="cs-CZ"/>
        </w:rPr>
        <w:commentReference w:id="2"/>
      </w:r>
    </w:p>
    <w:p w14:paraId="1FDCC635" w14:textId="77777777" w:rsidR="002E3294" w:rsidRDefault="002E3294" w:rsidP="002E3294">
      <w:pPr>
        <w:pStyle w:val="Odstavecseseznamem"/>
        <w:rPr>
          <w:sz w:val="20"/>
          <w:szCs w:val="20"/>
        </w:rPr>
      </w:pPr>
    </w:p>
    <w:p w14:paraId="73ACB438" w14:textId="77777777" w:rsidR="002E3294" w:rsidRPr="00823365" w:rsidRDefault="002E3294" w:rsidP="00823365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oprávněn podnikat v rozsahu odpovídajícím předmětu Soutěže, tj. disponuj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příslušným živnostenským oprávněním či licencí, a to alespoň pro živnost „Projektová činnost ve výstavbě“, nebo </w:t>
      </w:r>
      <w:r w:rsidRPr="002E3294">
        <w:rPr>
          <w:sz w:val="20"/>
          <w:szCs w:val="20"/>
        </w:rPr>
        <w:t>má sídlo v zemi, kde takové oprávněn</w:t>
      </w:r>
      <w:r>
        <w:rPr>
          <w:sz w:val="20"/>
          <w:szCs w:val="20"/>
        </w:rPr>
        <w:t>í či licence</w:t>
      </w:r>
      <w:r w:rsidRPr="002E3294">
        <w:rPr>
          <w:sz w:val="20"/>
          <w:szCs w:val="20"/>
        </w:rPr>
        <w:t xml:space="preserve"> </w:t>
      </w:r>
      <w:r>
        <w:rPr>
          <w:sz w:val="20"/>
          <w:szCs w:val="20"/>
        </w:rPr>
        <w:t>nejsou vyžadovány, nebo j</w:t>
      </w:r>
      <w:r w:rsidR="00762637">
        <w:rPr>
          <w:sz w:val="20"/>
          <w:szCs w:val="20"/>
        </w:rPr>
        <w:t>e</w:t>
      </w:r>
      <w:r>
        <w:rPr>
          <w:sz w:val="20"/>
          <w:szCs w:val="20"/>
        </w:rPr>
        <w:t xml:space="preserve"> fyzickou osobou, která </w:t>
      </w:r>
      <w:r w:rsidRPr="002E3294">
        <w:rPr>
          <w:sz w:val="20"/>
          <w:szCs w:val="20"/>
        </w:rPr>
        <w:t>vykonává činnost dle zákona č. 360</w:t>
      </w:r>
      <w:r>
        <w:rPr>
          <w:sz w:val="20"/>
          <w:szCs w:val="20"/>
        </w:rPr>
        <w:t>/1992 Sb.</w:t>
      </w:r>
      <w:r w:rsidRPr="002E3294">
        <w:rPr>
          <w:sz w:val="20"/>
          <w:szCs w:val="20"/>
        </w:rPr>
        <w:t>, o výkonu povolání autorizovaných architektů a o výkonu povolání autorizovaných inženýrů a techniků činných ve výstavbě, ve znění pozdějších předpisů</w:t>
      </w:r>
      <w:r w:rsidR="00823365">
        <w:rPr>
          <w:sz w:val="20"/>
          <w:szCs w:val="20"/>
        </w:rPr>
        <w:t xml:space="preserve"> (dále jen „</w:t>
      </w:r>
      <w:r w:rsidR="00823365" w:rsidRPr="00823365">
        <w:rPr>
          <w:b/>
          <w:bCs/>
          <w:sz w:val="20"/>
          <w:szCs w:val="20"/>
        </w:rPr>
        <w:t>Zákon o výkonu povolání</w:t>
      </w:r>
      <w:r w:rsidR="00823365">
        <w:rPr>
          <w:sz w:val="20"/>
          <w:szCs w:val="20"/>
        </w:rPr>
        <w:t>“)</w:t>
      </w:r>
      <w:r>
        <w:rPr>
          <w:sz w:val="20"/>
          <w:szCs w:val="20"/>
        </w:rPr>
        <w:t>, a to jako „svobodný architekt“ nebo „svobodný inženýr“;</w:t>
      </w:r>
    </w:p>
    <w:p w14:paraId="438AC7CC" w14:textId="77777777" w:rsidR="00472A41" w:rsidRDefault="00472A41" w:rsidP="00581719">
      <w:pPr>
        <w:pStyle w:val="Odstavecseseznamem"/>
        <w:tabs>
          <w:tab w:val="left" w:pos="1258"/>
        </w:tabs>
        <w:ind w:right="178" w:firstLine="0"/>
        <w:rPr>
          <w:color w:val="231F20"/>
          <w:sz w:val="20"/>
          <w:szCs w:val="20"/>
        </w:rPr>
      </w:pPr>
    </w:p>
    <w:p w14:paraId="3E1FB5E6" w14:textId="77777777" w:rsidR="00982AE1" w:rsidRDefault="00982AE1" w:rsidP="000E11CA">
      <w:pPr>
        <w:pStyle w:val="Default"/>
        <w:numPr>
          <w:ilvl w:val="0"/>
          <w:numId w:val="1"/>
        </w:numPr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splňuje požadavek ve smyslu § 79 </w:t>
      </w:r>
      <w:r w:rsidR="00952F67">
        <w:rPr>
          <w:color w:val="231F20"/>
          <w:sz w:val="20"/>
          <w:szCs w:val="20"/>
        </w:rPr>
        <w:t xml:space="preserve">odst. 2 písm. b) </w:t>
      </w:r>
      <w:r>
        <w:rPr>
          <w:color w:val="231F20"/>
          <w:sz w:val="20"/>
          <w:szCs w:val="20"/>
        </w:rPr>
        <w:t>ZZVZ předložením seznamu alespoň dvou významných služeb</w:t>
      </w:r>
      <w:r w:rsidR="005C38CE">
        <w:rPr>
          <w:color w:val="231F20"/>
          <w:sz w:val="20"/>
          <w:szCs w:val="20"/>
        </w:rPr>
        <w:t>, přičemž</w:t>
      </w:r>
      <w:r w:rsidR="00381698">
        <w:rPr>
          <w:color w:val="231F20"/>
          <w:sz w:val="20"/>
          <w:szCs w:val="20"/>
        </w:rPr>
        <w:t xml:space="preserve"> jejich požadavky jsou uvedeny</w:t>
      </w:r>
      <w:r w:rsidR="006F4A1F">
        <w:rPr>
          <w:color w:val="231F20"/>
          <w:sz w:val="20"/>
          <w:szCs w:val="20"/>
        </w:rPr>
        <w:t xml:space="preserve"> v podkladu </w:t>
      </w:r>
      <w:r w:rsidR="006F4A1F" w:rsidRPr="006F4A1F">
        <w:rPr>
          <w:i/>
          <w:iCs/>
          <w:color w:val="231F20"/>
          <w:sz w:val="20"/>
          <w:szCs w:val="20"/>
        </w:rPr>
        <w:t>P07 – Vzor seznamu významných služeb</w:t>
      </w:r>
      <w:r w:rsidR="006F4A1F">
        <w:rPr>
          <w:color w:val="231F20"/>
          <w:sz w:val="20"/>
          <w:szCs w:val="20"/>
        </w:rPr>
        <w:t>.</w:t>
      </w:r>
    </w:p>
    <w:p w14:paraId="61921BC2" w14:textId="77777777" w:rsidR="00982AE1" w:rsidRDefault="00982AE1" w:rsidP="00982AE1">
      <w:pPr>
        <w:pStyle w:val="Odstavecseseznamem"/>
        <w:rPr>
          <w:color w:val="231F20"/>
          <w:sz w:val="20"/>
          <w:szCs w:val="20"/>
        </w:rPr>
      </w:pPr>
    </w:p>
    <w:p w14:paraId="3D3FCE33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53D64382" w14:textId="77777777" w:rsidR="0093559D" w:rsidRDefault="0093559D" w:rsidP="0093559D">
      <w:pPr>
        <w:pStyle w:val="Default"/>
        <w:ind w:left="1977"/>
        <w:rPr>
          <w:color w:val="231F20"/>
          <w:sz w:val="20"/>
          <w:szCs w:val="20"/>
        </w:rPr>
      </w:pPr>
    </w:p>
    <w:p w14:paraId="5DE8A8EB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41A51F48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76ADD3D0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05A3B76B" w14:textId="77777777" w:rsidR="008B1989" w:rsidRPr="00362D69" w:rsidRDefault="008B1989" w:rsidP="00E50EE9">
      <w:pPr>
        <w:pStyle w:val="Zkladntext"/>
        <w:jc w:val="right"/>
      </w:pPr>
    </w:p>
    <w:p w14:paraId="74C04A3A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0FEC826B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7F53F359" w14:textId="77777777" w:rsidR="008B1989" w:rsidRPr="00362D69" w:rsidRDefault="00BF1B4C" w:rsidP="009F4C4A">
      <w:pPr>
        <w:pStyle w:val="Zkladntext"/>
        <w:spacing w:before="83"/>
        <w:ind w:right="121"/>
        <w:jc w:val="right"/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istina Župková" w:date="2023-07-26T14:31:00Z" w:initials="KŽ">
    <w:p w14:paraId="52AB8B2D" w14:textId="77777777" w:rsidR="00895369" w:rsidRDefault="00895369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1A072247" w14:textId="77777777" w:rsidR="00895369" w:rsidRDefault="00895369">
      <w:pPr>
        <w:pStyle w:val="Textkomente"/>
      </w:pPr>
    </w:p>
    <w:p w14:paraId="1EBACAF9" w14:textId="77777777" w:rsidR="00895369" w:rsidRDefault="00895369">
      <w:pPr>
        <w:pStyle w:val="Textkomente"/>
      </w:pPr>
      <w:r>
        <w:t>Právnická osoba vyplní záhlaví nad čarou.</w:t>
      </w:r>
    </w:p>
    <w:p w14:paraId="7F096960" w14:textId="77777777" w:rsidR="00895369" w:rsidRDefault="00895369">
      <w:pPr>
        <w:pStyle w:val="Textkomente"/>
      </w:pPr>
    </w:p>
    <w:p w14:paraId="271C8D8D" w14:textId="77777777" w:rsidR="00895369" w:rsidRDefault="00895369" w:rsidP="00A335DA">
      <w:pPr>
        <w:pStyle w:val="Textkomente"/>
      </w:pPr>
      <w:r>
        <w:t>Fyzická osoba vyplní záhlaví pod čarou.</w:t>
      </w:r>
    </w:p>
  </w:comment>
  <w:comment w:id="1" w:author="Tomáš Pavlíček" w:date="2022-04-27T10:35:00Z" w:initials="TP">
    <w:p w14:paraId="0D6F0F80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78B25A98" w14:textId="77777777" w:rsidR="006B3779" w:rsidRDefault="006B3779">
      <w:pPr>
        <w:pStyle w:val="Textkomente"/>
      </w:pPr>
    </w:p>
    <w:p w14:paraId="6D4A62CA" w14:textId="77777777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2" w:author="Tomáš Pavlíček" w:date="2022-04-27T10:38:00Z" w:initials="TP">
    <w:p w14:paraId="59BCDD09" w14:textId="77777777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3D7893A3" w14:textId="77777777" w:rsidR="006B3779" w:rsidRDefault="006B3779" w:rsidP="006B3779">
      <w:pPr>
        <w:pStyle w:val="Textkomente"/>
      </w:pPr>
    </w:p>
    <w:p w14:paraId="55C4A73C" w14:textId="77777777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1C8D8D" w15:done="0"/>
  <w15:commentEx w15:paraId="6D4A62CA" w15:done="0"/>
  <w15:commentEx w15:paraId="55C4A7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1C8D8D" w16cid:durableId="286BACC5"/>
  <w16cid:commentId w16cid:paraId="6D4A62CA" w16cid:durableId="26139B05"/>
  <w16cid:commentId w16cid:paraId="55C4A73C" w16cid:durableId="26139B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1B9F7" w14:textId="77777777" w:rsidR="004236B6" w:rsidRDefault="004236B6" w:rsidP="0064732B">
      <w:r>
        <w:separator/>
      </w:r>
    </w:p>
  </w:endnote>
  <w:endnote w:type="continuationSeparator" w:id="0">
    <w:p w14:paraId="6E3CE170" w14:textId="77777777" w:rsidR="004236B6" w:rsidRDefault="004236B6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BE7D1" w14:textId="77777777" w:rsidR="004236B6" w:rsidRDefault="004236B6" w:rsidP="0064732B">
      <w:r>
        <w:separator/>
      </w:r>
    </w:p>
  </w:footnote>
  <w:footnote w:type="continuationSeparator" w:id="0">
    <w:p w14:paraId="05873B4B" w14:textId="77777777" w:rsidR="004236B6" w:rsidRDefault="004236B6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A59B5"/>
    <w:multiLevelType w:val="hybridMultilevel"/>
    <w:tmpl w:val="6C383846"/>
    <w:lvl w:ilvl="0" w:tplc="07D86AB6">
      <w:start w:val="2"/>
      <w:numFmt w:val="bullet"/>
      <w:lvlText w:val="-"/>
      <w:lvlJc w:val="left"/>
      <w:pPr>
        <w:ind w:left="305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7" w:hanging="360"/>
      </w:pPr>
      <w:rPr>
        <w:rFonts w:ascii="Wingdings" w:hAnsi="Wingdings" w:hint="default"/>
      </w:rPr>
    </w:lvl>
  </w:abstractNum>
  <w:abstractNum w:abstractNumId="4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5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6" w15:restartNumberingAfterBreak="0">
    <w:nsid w:val="5B5101B0"/>
    <w:multiLevelType w:val="hybridMultilevel"/>
    <w:tmpl w:val="E0DE2648"/>
    <w:lvl w:ilvl="0" w:tplc="07D86AB6">
      <w:start w:val="2"/>
      <w:numFmt w:val="bullet"/>
      <w:lvlText w:val="-"/>
      <w:lvlJc w:val="left"/>
      <w:pPr>
        <w:ind w:left="197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6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7" w:hanging="360"/>
      </w:pPr>
      <w:rPr>
        <w:rFonts w:ascii="Wingdings" w:hAnsi="Wingdings" w:hint="default"/>
      </w:rPr>
    </w:lvl>
  </w:abstractNum>
  <w:num w:numId="1" w16cid:durableId="420176387">
    <w:abstractNumId w:val="0"/>
  </w:num>
  <w:num w:numId="2" w16cid:durableId="1803232888">
    <w:abstractNumId w:val="5"/>
  </w:num>
  <w:num w:numId="3" w16cid:durableId="41172131">
    <w:abstractNumId w:val="1"/>
  </w:num>
  <w:num w:numId="4" w16cid:durableId="101271344">
    <w:abstractNumId w:val="2"/>
  </w:num>
  <w:num w:numId="5" w16cid:durableId="965280625">
    <w:abstractNumId w:val="4"/>
  </w:num>
  <w:num w:numId="6" w16cid:durableId="877165430">
    <w:abstractNumId w:val="3"/>
  </w:num>
  <w:num w:numId="7" w16cid:durableId="5825643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Pavlíček">
    <w15:presenceInfo w15:providerId="AD" w15:userId="S-1-5-21-1445732033-345085943-3574896461-1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E63"/>
    <w:rsid w:val="00005D74"/>
    <w:rsid w:val="000072EA"/>
    <w:rsid w:val="000A2ECA"/>
    <w:rsid w:val="000E11CA"/>
    <w:rsid w:val="00121C55"/>
    <w:rsid w:val="00125C0F"/>
    <w:rsid w:val="00194E42"/>
    <w:rsid w:val="001A4D15"/>
    <w:rsid w:val="001B07C4"/>
    <w:rsid w:val="001F5E0E"/>
    <w:rsid w:val="0021230B"/>
    <w:rsid w:val="00217415"/>
    <w:rsid w:val="00223286"/>
    <w:rsid w:val="00231369"/>
    <w:rsid w:val="00273DD1"/>
    <w:rsid w:val="00294EAB"/>
    <w:rsid w:val="002A0BD7"/>
    <w:rsid w:val="002B6BB4"/>
    <w:rsid w:val="002C0D42"/>
    <w:rsid w:val="002D5308"/>
    <w:rsid w:val="002E3294"/>
    <w:rsid w:val="00303B10"/>
    <w:rsid w:val="003060C1"/>
    <w:rsid w:val="003136CA"/>
    <w:rsid w:val="00362D69"/>
    <w:rsid w:val="00367F6A"/>
    <w:rsid w:val="0037268B"/>
    <w:rsid w:val="00381698"/>
    <w:rsid w:val="0038203E"/>
    <w:rsid w:val="003B2E32"/>
    <w:rsid w:val="003D0DAB"/>
    <w:rsid w:val="003D6EC6"/>
    <w:rsid w:val="003F0B7D"/>
    <w:rsid w:val="004042E5"/>
    <w:rsid w:val="0040694D"/>
    <w:rsid w:val="004236B6"/>
    <w:rsid w:val="004304B1"/>
    <w:rsid w:val="00472A41"/>
    <w:rsid w:val="00486569"/>
    <w:rsid w:val="004A6CE4"/>
    <w:rsid w:val="004C05AE"/>
    <w:rsid w:val="004E71D1"/>
    <w:rsid w:val="00506E7F"/>
    <w:rsid w:val="00507EF8"/>
    <w:rsid w:val="005147BF"/>
    <w:rsid w:val="00541CB8"/>
    <w:rsid w:val="00556979"/>
    <w:rsid w:val="00581719"/>
    <w:rsid w:val="00587558"/>
    <w:rsid w:val="005903DA"/>
    <w:rsid w:val="005A4EB2"/>
    <w:rsid w:val="005B3CD8"/>
    <w:rsid w:val="005B6371"/>
    <w:rsid w:val="005C38CE"/>
    <w:rsid w:val="005E2F16"/>
    <w:rsid w:val="005E4B3C"/>
    <w:rsid w:val="005E6D9E"/>
    <w:rsid w:val="00603E33"/>
    <w:rsid w:val="00605DA0"/>
    <w:rsid w:val="00614476"/>
    <w:rsid w:val="00616FB3"/>
    <w:rsid w:val="006372B8"/>
    <w:rsid w:val="006429DC"/>
    <w:rsid w:val="0064732B"/>
    <w:rsid w:val="00650CBF"/>
    <w:rsid w:val="006631E6"/>
    <w:rsid w:val="00676987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6F4A1F"/>
    <w:rsid w:val="00762637"/>
    <w:rsid w:val="00764A9A"/>
    <w:rsid w:val="00774923"/>
    <w:rsid w:val="00785403"/>
    <w:rsid w:val="007B1E63"/>
    <w:rsid w:val="007B46F1"/>
    <w:rsid w:val="007B71DD"/>
    <w:rsid w:val="007C603C"/>
    <w:rsid w:val="007D0455"/>
    <w:rsid w:val="007E5725"/>
    <w:rsid w:val="0082284D"/>
    <w:rsid w:val="00823365"/>
    <w:rsid w:val="008323BB"/>
    <w:rsid w:val="008437DA"/>
    <w:rsid w:val="008626B6"/>
    <w:rsid w:val="008704AE"/>
    <w:rsid w:val="00895369"/>
    <w:rsid w:val="008B1989"/>
    <w:rsid w:val="008B39DD"/>
    <w:rsid w:val="008C722D"/>
    <w:rsid w:val="008D5ABE"/>
    <w:rsid w:val="008E727B"/>
    <w:rsid w:val="008F678E"/>
    <w:rsid w:val="0090091B"/>
    <w:rsid w:val="00926A77"/>
    <w:rsid w:val="0093559D"/>
    <w:rsid w:val="00946434"/>
    <w:rsid w:val="009526D6"/>
    <w:rsid w:val="00952F67"/>
    <w:rsid w:val="00970C2D"/>
    <w:rsid w:val="00973265"/>
    <w:rsid w:val="00976600"/>
    <w:rsid w:val="00982AE1"/>
    <w:rsid w:val="009A5EF0"/>
    <w:rsid w:val="009D164E"/>
    <w:rsid w:val="009F0915"/>
    <w:rsid w:val="009F4C4A"/>
    <w:rsid w:val="009F61DF"/>
    <w:rsid w:val="00A2554D"/>
    <w:rsid w:val="00A301E5"/>
    <w:rsid w:val="00A335DA"/>
    <w:rsid w:val="00A336F9"/>
    <w:rsid w:val="00A42B76"/>
    <w:rsid w:val="00A72D75"/>
    <w:rsid w:val="00A8793D"/>
    <w:rsid w:val="00A9567E"/>
    <w:rsid w:val="00AA2911"/>
    <w:rsid w:val="00AB3CE1"/>
    <w:rsid w:val="00AC3ECB"/>
    <w:rsid w:val="00AD3954"/>
    <w:rsid w:val="00AD60D2"/>
    <w:rsid w:val="00AE483F"/>
    <w:rsid w:val="00AE673F"/>
    <w:rsid w:val="00B20DBF"/>
    <w:rsid w:val="00B24A81"/>
    <w:rsid w:val="00B27BCB"/>
    <w:rsid w:val="00B41668"/>
    <w:rsid w:val="00B47575"/>
    <w:rsid w:val="00B608CD"/>
    <w:rsid w:val="00B70C8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451DC"/>
    <w:rsid w:val="00D46AA1"/>
    <w:rsid w:val="00D52F54"/>
    <w:rsid w:val="00DA4178"/>
    <w:rsid w:val="00DC374F"/>
    <w:rsid w:val="00E013EA"/>
    <w:rsid w:val="00E12A81"/>
    <w:rsid w:val="00E50EE9"/>
    <w:rsid w:val="00E6413E"/>
    <w:rsid w:val="00E67AB7"/>
    <w:rsid w:val="00EA32BE"/>
    <w:rsid w:val="00EB610A"/>
    <w:rsid w:val="00EC07EB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388EA2"/>
  <w15:docId w15:val="{29F19A79-209F-4966-B265-32753AF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link w:val="Nadpis3"/>
    <w:semiHidden/>
    <w:rsid w:val="00AD60D2"/>
    <w:rPr>
      <w:rFonts w:ascii="Cambria" w:eastAsia="Times New Roman" w:hAnsi="Cambria" w:cs="Times New Roman"/>
      <w:color w:val="243F60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  <w:sz w:val="22"/>
      <w:szCs w:val="22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uiPriority w:val="99"/>
    <w:semiHidden/>
    <w:unhideWhenUsed/>
    <w:rsid w:val="007E5725"/>
    <w:rPr>
      <w:color w:val="0000FF"/>
      <w:u w:val="single"/>
    </w:rPr>
  </w:style>
  <w:style w:type="table" w:styleId="Mkatabulky">
    <w:name w:val="Table Grid"/>
    <w:basedOn w:val="Normlntabulka"/>
    <w:locked/>
    <w:rsid w:val="00A8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2</cp:revision>
  <dcterms:created xsi:type="dcterms:W3CDTF">2023-10-03T14:21:00Z</dcterms:created>
  <dcterms:modified xsi:type="dcterms:W3CDTF">2023-10-03T14:21:00Z</dcterms:modified>
</cp:coreProperties>
</file>