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E3CE" w14:textId="77777777" w:rsidR="001E400F" w:rsidRPr="00700332" w:rsidRDefault="001E400F" w:rsidP="006E3D7D">
      <w:pPr>
        <w:pStyle w:val="BodyText3"/>
        <w:tabs>
          <w:tab w:val="left" w:pos="3060"/>
        </w:tabs>
        <w:jc w:val="center"/>
        <w:rPr>
          <w:b/>
          <w:noProof/>
          <w:sz w:val="24"/>
          <w:szCs w:val="24"/>
        </w:rPr>
      </w:pPr>
      <w:r w:rsidRPr="00700332">
        <w:rPr>
          <w:b/>
          <w:noProof/>
          <w:sz w:val="24"/>
          <w:szCs w:val="24"/>
        </w:rPr>
        <w:t>Zadávací podmínky na veřejnou zakázku malého rozsahu:</w:t>
      </w:r>
    </w:p>
    <w:p w14:paraId="2D822F9A" w14:textId="77777777" w:rsidR="001E400F" w:rsidRPr="00BF44C3" w:rsidRDefault="001E400F" w:rsidP="006E3D7D">
      <w:pPr>
        <w:ind w:left="280" w:hanging="280"/>
        <w:jc w:val="center"/>
        <w:rPr>
          <w:b/>
          <w:sz w:val="14"/>
        </w:rPr>
      </w:pPr>
    </w:p>
    <w:p w14:paraId="330B4AD1" w14:textId="5981E8F7" w:rsidR="005236F7" w:rsidRPr="00E86055" w:rsidRDefault="00C6098E" w:rsidP="00E86055">
      <w:pPr>
        <w:pStyle w:val="paragraph"/>
        <w:spacing w:before="0" w:beforeAutospacing="0" w:after="0" w:afterAutospacing="0"/>
        <w:ind w:left="270" w:hanging="27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C2A7B">
        <w:rPr>
          <w:b/>
          <w:sz w:val="36"/>
        </w:rPr>
        <w:t>„</w:t>
      </w:r>
      <w:r w:rsidR="001811BE">
        <w:rPr>
          <w:b/>
          <w:sz w:val="36"/>
        </w:rPr>
        <w:t xml:space="preserve">Vizuální identita </w:t>
      </w:r>
      <w:r w:rsidR="008062C1">
        <w:rPr>
          <w:b/>
          <w:sz w:val="36"/>
        </w:rPr>
        <w:t>M</w:t>
      </w:r>
      <w:r w:rsidR="00F145B8">
        <w:rPr>
          <w:b/>
          <w:sz w:val="36"/>
        </w:rPr>
        <w:t>etropolitn</w:t>
      </w:r>
      <w:r w:rsidR="008062C1">
        <w:rPr>
          <w:b/>
          <w:sz w:val="36"/>
        </w:rPr>
        <w:t>ích oblastí a aglomerací ČR</w:t>
      </w:r>
      <w:r w:rsidR="005236F7" w:rsidRPr="007C2A7B">
        <w:rPr>
          <w:b/>
          <w:sz w:val="36"/>
        </w:rPr>
        <w:t>“</w:t>
      </w:r>
    </w:p>
    <w:p w14:paraId="534201C7" w14:textId="77777777" w:rsidR="001E400F" w:rsidRPr="00700332" w:rsidRDefault="001E400F" w:rsidP="006E3D7D">
      <w:pPr>
        <w:jc w:val="center"/>
        <w:rPr>
          <w:b/>
        </w:rPr>
      </w:pPr>
    </w:p>
    <w:p w14:paraId="264AFE92" w14:textId="148CFBC9" w:rsidR="00457805" w:rsidRPr="00C7566D" w:rsidRDefault="00457805" w:rsidP="00457805">
      <w:pPr>
        <w:pStyle w:val="BodyText3"/>
        <w:jc w:val="center"/>
        <w:rPr>
          <w:b/>
          <w:noProof/>
          <w:sz w:val="23"/>
          <w:szCs w:val="23"/>
        </w:rPr>
      </w:pPr>
      <w:r w:rsidRPr="00C7566D">
        <w:rPr>
          <w:b/>
          <w:sz w:val="23"/>
          <w:szCs w:val="23"/>
        </w:rPr>
        <w:t xml:space="preserve">zadávanou </w:t>
      </w:r>
      <w:r>
        <w:rPr>
          <w:b/>
          <w:sz w:val="23"/>
          <w:szCs w:val="23"/>
        </w:rPr>
        <w:t xml:space="preserve">mimo režim </w:t>
      </w:r>
      <w:r w:rsidRPr="00C7566D">
        <w:rPr>
          <w:b/>
          <w:sz w:val="23"/>
          <w:szCs w:val="23"/>
        </w:rPr>
        <w:t>zákona č. 13</w:t>
      </w:r>
      <w:r>
        <w:rPr>
          <w:b/>
          <w:sz w:val="23"/>
          <w:szCs w:val="23"/>
        </w:rPr>
        <w:t>4</w:t>
      </w:r>
      <w:r w:rsidRPr="00C7566D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</w:t>
      </w:r>
      <w:r w:rsidRPr="00C7566D">
        <w:rPr>
          <w:b/>
          <w:sz w:val="23"/>
          <w:szCs w:val="23"/>
        </w:rPr>
        <w:t>6 Sb.,</w:t>
      </w:r>
      <w:r>
        <w:rPr>
          <w:b/>
          <w:sz w:val="23"/>
          <w:szCs w:val="23"/>
        </w:rPr>
        <w:t xml:space="preserve"> o zadávání veřejných zakázek, ve znění pozdějších předpisů (dále jen „ZZVZ“), v souladu s § 31 tohoto zákona za současného respektování § 6 </w:t>
      </w:r>
      <w:r w:rsidR="592F22BD" w:rsidRPr="2B0B9ABE">
        <w:rPr>
          <w:b/>
          <w:bCs/>
          <w:sz w:val="23"/>
          <w:szCs w:val="23"/>
        </w:rPr>
        <w:t xml:space="preserve">odst. 1 až 3 </w:t>
      </w:r>
      <w:r>
        <w:rPr>
          <w:b/>
          <w:sz w:val="23"/>
          <w:szCs w:val="23"/>
        </w:rPr>
        <w:t>ZZVZ</w:t>
      </w:r>
      <w:r>
        <w:br/>
      </w:r>
      <w:r w:rsidRPr="00C7566D">
        <w:rPr>
          <w:b/>
          <w:noProof/>
          <w:sz w:val="23"/>
          <w:szCs w:val="23"/>
        </w:rPr>
        <w:t>(dále jen „veřejná zakázka“)</w:t>
      </w:r>
    </w:p>
    <w:p w14:paraId="2614E143" w14:textId="77777777" w:rsidR="001E400F" w:rsidRDefault="001E400F" w:rsidP="006E3D7D">
      <w:pPr>
        <w:pStyle w:val="BodyText3"/>
        <w:jc w:val="center"/>
        <w:rPr>
          <w:b/>
          <w:noProof/>
          <w:sz w:val="24"/>
          <w:szCs w:val="24"/>
        </w:rPr>
      </w:pPr>
    </w:p>
    <w:p w14:paraId="0A127FFD" w14:textId="77777777" w:rsidR="004E5BDB" w:rsidRPr="008F7736" w:rsidRDefault="004E5BDB" w:rsidP="005E32D4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contextualSpacing w:val="0"/>
        <w:jc w:val="both"/>
        <w:textAlignment w:val="baseline"/>
        <w:rPr>
          <w:b/>
        </w:rPr>
      </w:pPr>
      <w:r w:rsidRPr="008F7736">
        <w:rPr>
          <w:b/>
        </w:rPr>
        <w:t>Identifikační údaje zadavatele</w:t>
      </w:r>
    </w:p>
    <w:p w14:paraId="02C4CCAE" w14:textId="77777777" w:rsidR="00457805" w:rsidRPr="00C7566D" w:rsidRDefault="00457805" w:rsidP="00457805">
      <w:pPr>
        <w:rPr>
          <w:sz w:val="23"/>
          <w:szCs w:val="23"/>
        </w:rPr>
      </w:pPr>
    </w:p>
    <w:p w14:paraId="52ECD26D" w14:textId="77777777" w:rsidR="00457805" w:rsidRPr="00F6097E" w:rsidRDefault="00457805" w:rsidP="7E1DA6AB">
      <w:pPr>
        <w:tabs>
          <w:tab w:val="left" w:pos="360"/>
        </w:tabs>
        <w:rPr>
          <w:b/>
          <w:bCs/>
          <w:sz w:val="23"/>
          <w:szCs w:val="23"/>
        </w:rPr>
      </w:pPr>
      <w:r w:rsidRPr="00C7566D">
        <w:rPr>
          <w:sz w:val="23"/>
          <w:szCs w:val="23"/>
        </w:rPr>
        <w:tab/>
      </w:r>
      <w:r w:rsidR="4F4FCFA8" w:rsidRPr="00F6097E">
        <w:rPr>
          <w:sz w:val="23"/>
          <w:szCs w:val="23"/>
        </w:rPr>
        <w:t>Název:</w:t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r w:rsidR="4F4FCFA8" w:rsidRPr="7E1DA6AB">
        <w:rPr>
          <w:b/>
          <w:bCs/>
          <w:sz w:val="23"/>
          <w:szCs w:val="23"/>
        </w:rPr>
        <w:t>statutární město Brno</w:t>
      </w:r>
    </w:p>
    <w:p w14:paraId="625187AC" w14:textId="77777777" w:rsidR="00457805" w:rsidRPr="00F6097E" w:rsidRDefault="00457805" w:rsidP="00457805">
      <w:pPr>
        <w:tabs>
          <w:tab w:val="left" w:pos="360"/>
        </w:tabs>
        <w:rPr>
          <w:sz w:val="23"/>
          <w:szCs w:val="23"/>
        </w:rPr>
      </w:pPr>
      <w:r w:rsidRPr="00F6097E">
        <w:rPr>
          <w:b/>
          <w:sz w:val="23"/>
          <w:szCs w:val="23"/>
        </w:rPr>
        <w:tab/>
      </w:r>
      <w:r w:rsidRPr="00F6097E">
        <w:rPr>
          <w:sz w:val="23"/>
          <w:szCs w:val="23"/>
        </w:rPr>
        <w:t>Sídlo:</w:t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  <w:t>Dominikánské nám. 1, 601 67 Brno</w:t>
      </w:r>
    </w:p>
    <w:p w14:paraId="6CCECDCA" w14:textId="77777777" w:rsidR="00457805" w:rsidRPr="00F6097E" w:rsidRDefault="00457805" w:rsidP="00457805">
      <w:pPr>
        <w:tabs>
          <w:tab w:val="left" w:pos="360"/>
        </w:tabs>
        <w:rPr>
          <w:sz w:val="23"/>
          <w:szCs w:val="23"/>
        </w:rPr>
      </w:pPr>
      <w:r w:rsidRPr="00F6097E">
        <w:rPr>
          <w:sz w:val="23"/>
          <w:szCs w:val="23"/>
        </w:rPr>
        <w:tab/>
        <w:t>Zastoupené:</w:t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  <w:t>JUDr. Markéta Vaňková, primátorka</w:t>
      </w:r>
    </w:p>
    <w:p w14:paraId="54B9A555" w14:textId="77777777" w:rsidR="00457805" w:rsidRPr="00F6097E" w:rsidRDefault="00457805" w:rsidP="00457805">
      <w:pPr>
        <w:tabs>
          <w:tab w:val="left" w:pos="360"/>
        </w:tabs>
        <w:rPr>
          <w:sz w:val="23"/>
          <w:szCs w:val="23"/>
        </w:rPr>
      </w:pPr>
      <w:r w:rsidRPr="00F6097E">
        <w:rPr>
          <w:sz w:val="23"/>
          <w:szCs w:val="23"/>
        </w:rPr>
        <w:tab/>
        <w:t>IČO:</w:t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  <w:t>44992785</w:t>
      </w:r>
    </w:p>
    <w:p w14:paraId="71089DE5" w14:textId="77777777" w:rsidR="00457805" w:rsidRPr="00F6097E" w:rsidRDefault="00457805" w:rsidP="00457805">
      <w:pPr>
        <w:tabs>
          <w:tab w:val="left" w:pos="360"/>
        </w:tabs>
        <w:rPr>
          <w:sz w:val="23"/>
          <w:szCs w:val="23"/>
        </w:rPr>
      </w:pPr>
      <w:r w:rsidRPr="00F6097E">
        <w:rPr>
          <w:sz w:val="23"/>
          <w:szCs w:val="23"/>
        </w:rPr>
        <w:tab/>
        <w:t>DIČ:</w:t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  <w:t>CZ44992785, je plátcem DPH</w:t>
      </w:r>
    </w:p>
    <w:p w14:paraId="729E493B" w14:textId="07DD5552" w:rsidR="00457805" w:rsidRPr="00F6097E" w:rsidRDefault="00457805" w:rsidP="00457805">
      <w:pPr>
        <w:tabs>
          <w:tab w:val="left" w:pos="360"/>
        </w:tabs>
        <w:rPr>
          <w:sz w:val="23"/>
          <w:szCs w:val="23"/>
        </w:rPr>
      </w:pPr>
      <w:r w:rsidRPr="00F6097E">
        <w:rPr>
          <w:sz w:val="23"/>
          <w:szCs w:val="23"/>
        </w:rPr>
        <w:tab/>
      </w:r>
      <w:r w:rsidR="7644A12D" w:rsidRPr="00F6097E">
        <w:rPr>
          <w:sz w:val="23"/>
          <w:szCs w:val="23"/>
        </w:rPr>
        <w:t xml:space="preserve">Bankovní spojení: </w:t>
      </w:r>
      <w:r w:rsidRPr="00F6097E">
        <w:rPr>
          <w:sz w:val="23"/>
          <w:szCs w:val="23"/>
        </w:rPr>
        <w:tab/>
      </w:r>
      <w:r w:rsidR="7644A12D" w:rsidRPr="008251A8">
        <w:t xml:space="preserve">Česká spořitelna, a.s., Olbrachtova 1929/62, 140 00 Praha 4     </w:t>
      </w:r>
    </w:p>
    <w:p w14:paraId="3D6C6421" w14:textId="511EDBCB" w:rsidR="00457805" w:rsidRPr="00F6097E" w:rsidRDefault="7644A12D" w:rsidP="00457805">
      <w:pPr>
        <w:tabs>
          <w:tab w:val="left" w:pos="360"/>
        </w:tabs>
      </w:pPr>
      <w:r w:rsidRPr="00F6097E">
        <w:rPr>
          <w:sz w:val="23"/>
          <w:szCs w:val="23"/>
        </w:rPr>
        <w:t xml:space="preserve">      č.</w:t>
      </w:r>
      <w:r>
        <w:rPr>
          <w:sz w:val="23"/>
          <w:szCs w:val="23"/>
        </w:rPr>
        <w:t xml:space="preserve"> </w:t>
      </w:r>
      <w:proofErr w:type="spellStart"/>
      <w:r w:rsidRPr="00F6097E">
        <w:rPr>
          <w:sz w:val="23"/>
          <w:szCs w:val="23"/>
        </w:rPr>
        <w:t>ú.</w:t>
      </w:r>
      <w:proofErr w:type="spellEnd"/>
      <w:r w:rsidRPr="00F6097E">
        <w:rPr>
          <w:sz w:val="23"/>
          <w:szCs w:val="23"/>
        </w:rPr>
        <w:t>:</w:t>
      </w:r>
      <w:r w:rsidR="4F4FCFA8">
        <w:tab/>
      </w:r>
      <w:r w:rsidR="4F4FCFA8">
        <w:tab/>
      </w:r>
      <w:r w:rsidR="02DD6678" w:rsidRPr="008251A8">
        <w:rPr>
          <w:spacing w:val="-1"/>
        </w:rPr>
        <w:t xml:space="preserve">      </w:t>
      </w:r>
      <w:r w:rsidRPr="008251A8">
        <w:rPr>
          <w:spacing w:val="-1"/>
        </w:rPr>
        <w:t>111 211 222/0800</w:t>
      </w:r>
    </w:p>
    <w:p w14:paraId="706EDCCA" w14:textId="18F1FFAB" w:rsidR="00457805" w:rsidRPr="00F6097E" w:rsidRDefault="4F4FCFA8" w:rsidP="2B0B9ABE">
      <w:pPr>
        <w:tabs>
          <w:tab w:val="left" w:pos="360"/>
        </w:tabs>
        <w:ind w:left="360"/>
        <w:rPr>
          <w:sz w:val="23"/>
          <w:szCs w:val="23"/>
        </w:rPr>
      </w:pPr>
      <w:r w:rsidRPr="00F6097E">
        <w:rPr>
          <w:sz w:val="23"/>
          <w:szCs w:val="23"/>
        </w:rPr>
        <w:t xml:space="preserve">Kontaktní </w:t>
      </w:r>
      <w:proofErr w:type="gramStart"/>
      <w:r w:rsidRPr="00F6097E">
        <w:rPr>
          <w:sz w:val="23"/>
          <w:szCs w:val="23"/>
        </w:rPr>
        <w:t>osoba:</w:t>
      </w:r>
      <w:r w:rsidR="47D5536A" w:rsidRPr="00F6097E">
        <w:rPr>
          <w:sz w:val="23"/>
          <w:szCs w:val="23"/>
        </w:rPr>
        <w:t xml:space="preserve">   </w:t>
      </w:r>
      <w:proofErr w:type="gramEnd"/>
      <w:r w:rsidR="47D5536A" w:rsidRPr="00F6097E">
        <w:rPr>
          <w:sz w:val="23"/>
          <w:szCs w:val="23"/>
        </w:rPr>
        <w:t xml:space="preserve">      </w:t>
      </w:r>
      <w:r w:rsidR="00A8759C">
        <w:rPr>
          <w:sz w:val="23"/>
          <w:szCs w:val="23"/>
        </w:rPr>
        <w:t>Ing</w:t>
      </w:r>
      <w:r w:rsidRPr="00F6097E">
        <w:rPr>
          <w:sz w:val="23"/>
          <w:szCs w:val="23"/>
        </w:rPr>
        <w:t xml:space="preserve">. </w:t>
      </w:r>
      <w:r w:rsidR="00CB27C8">
        <w:rPr>
          <w:sz w:val="23"/>
          <w:szCs w:val="23"/>
        </w:rPr>
        <w:t>Soňa Raszková</w:t>
      </w:r>
      <w:r w:rsidR="6C5D0BDE">
        <w:rPr>
          <w:sz w:val="23"/>
          <w:szCs w:val="23"/>
        </w:rPr>
        <w:t xml:space="preserve"> </w:t>
      </w:r>
    </w:p>
    <w:p w14:paraId="681920F4" w14:textId="27E2CCA5" w:rsidR="00457805" w:rsidRPr="00F6097E" w:rsidRDefault="00457805" w:rsidP="00457805">
      <w:pPr>
        <w:tabs>
          <w:tab w:val="left" w:pos="360"/>
        </w:tabs>
        <w:rPr>
          <w:sz w:val="23"/>
          <w:szCs w:val="23"/>
        </w:rPr>
      </w:pPr>
      <w:r w:rsidRPr="00F6097E">
        <w:rPr>
          <w:sz w:val="23"/>
          <w:szCs w:val="23"/>
        </w:rPr>
        <w:tab/>
      </w:r>
      <w:r w:rsidR="4F4FCFA8" w:rsidRPr="00F6097E">
        <w:rPr>
          <w:sz w:val="23"/>
          <w:szCs w:val="23"/>
        </w:rPr>
        <w:t>Telefon:</w:t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r w:rsidR="4F4FCFA8" w:rsidRPr="00F6097E">
        <w:rPr>
          <w:sz w:val="23"/>
          <w:szCs w:val="23"/>
        </w:rPr>
        <w:t>+420 542 172 </w:t>
      </w:r>
      <w:r w:rsidR="004531EC">
        <w:rPr>
          <w:sz w:val="23"/>
          <w:szCs w:val="23"/>
        </w:rPr>
        <w:t>469</w:t>
      </w:r>
    </w:p>
    <w:p w14:paraId="27120CE1" w14:textId="4F79D016" w:rsidR="00457805" w:rsidRPr="00C7566D" w:rsidRDefault="00457805" w:rsidP="00457805">
      <w:pPr>
        <w:tabs>
          <w:tab w:val="left" w:pos="360"/>
        </w:tabs>
        <w:rPr>
          <w:b/>
          <w:sz w:val="23"/>
          <w:szCs w:val="23"/>
        </w:rPr>
      </w:pPr>
      <w:r w:rsidRPr="00F6097E">
        <w:rPr>
          <w:sz w:val="23"/>
          <w:szCs w:val="23"/>
        </w:rPr>
        <w:tab/>
        <w:t>E-mail:</w:t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r w:rsidRPr="00F6097E">
        <w:rPr>
          <w:sz w:val="23"/>
          <w:szCs w:val="23"/>
        </w:rPr>
        <w:tab/>
      </w:r>
      <w:hyperlink r:id="rId11" w:history="1">
        <w:r w:rsidR="00CB27C8" w:rsidRPr="00105F08">
          <w:rPr>
            <w:rStyle w:val="Hyperlink"/>
            <w:sz w:val="23"/>
            <w:szCs w:val="23"/>
          </w:rPr>
          <w:t>raszkova.sona@brno.cz</w:t>
        </w:r>
      </w:hyperlink>
      <w:r w:rsidRPr="00C7566D">
        <w:rPr>
          <w:sz w:val="23"/>
          <w:szCs w:val="23"/>
        </w:rPr>
        <w:t xml:space="preserve"> </w:t>
      </w:r>
    </w:p>
    <w:p w14:paraId="7A84DE37" w14:textId="77777777" w:rsidR="00457805" w:rsidRPr="00C7566D" w:rsidRDefault="00457805" w:rsidP="00457805">
      <w:pPr>
        <w:tabs>
          <w:tab w:val="left" w:pos="360"/>
        </w:tabs>
        <w:rPr>
          <w:sz w:val="23"/>
          <w:szCs w:val="23"/>
        </w:rPr>
      </w:pPr>
      <w:r w:rsidRPr="00C7566D">
        <w:rPr>
          <w:sz w:val="23"/>
          <w:szCs w:val="23"/>
        </w:rPr>
        <w:tab/>
        <w:t>(dále jen jako „zadavatel“)</w:t>
      </w:r>
    </w:p>
    <w:p w14:paraId="564DD2F3" w14:textId="77777777" w:rsidR="007F7D06" w:rsidRDefault="007F7D06" w:rsidP="007F7D06">
      <w:pPr>
        <w:pStyle w:val="NoSpacing"/>
        <w:ind w:left="360"/>
      </w:pPr>
    </w:p>
    <w:p w14:paraId="02A28E92" w14:textId="77777777" w:rsidR="007F7D06" w:rsidRPr="008F7736" w:rsidRDefault="007F7D06" w:rsidP="005E32D4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contextualSpacing w:val="0"/>
        <w:jc w:val="both"/>
        <w:textAlignment w:val="baseline"/>
        <w:rPr>
          <w:b/>
        </w:rPr>
      </w:pPr>
      <w:r>
        <w:rPr>
          <w:b/>
        </w:rPr>
        <w:t>Druh a režim veřejné zakázky</w:t>
      </w:r>
    </w:p>
    <w:p w14:paraId="314425CC" w14:textId="77777777" w:rsidR="007F7D06" w:rsidRDefault="007F7D06" w:rsidP="007F7D06">
      <w:pPr>
        <w:spacing w:before="120"/>
        <w:jc w:val="both"/>
      </w:pPr>
      <w:r>
        <w:t xml:space="preserve">Režim veřejné zakázky: </w:t>
      </w:r>
      <w:r w:rsidRPr="002B33D0">
        <w:rPr>
          <w:b/>
        </w:rPr>
        <w:t>veřejná zakázka malého rozsahu</w:t>
      </w:r>
      <w:r>
        <w:t xml:space="preserve"> dle § 27 ZZVZ</w:t>
      </w:r>
    </w:p>
    <w:p w14:paraId="1E6AC3C7" w14:textId="77777777" w:rsidR="007F7D06" w:rsidRPr="00A25FD4" w:rsidRDefault="007F7D06" w:rsidP="007F7D06">
      <w:pPr>
        <w:pStyle w:val="NoSpacing"/>
        <w:jc w:val="both"/>
      </w:pPr>
      <w:r w:rsidRPr="00A25FD4">
        <w:t>Druh veřejné zakázky</w:t>
      </w:r>
      <w:r w:rsidRPr="00A25FD4">
        <w:rPr>
          <w:b/>
        </w:rPr>
        <w:t xml:space="preserve">: </w:t>
      </w:r>
      <w:r w:rsidRPr="002B33D0">
        <w:rPr>
          <w:b/>
        </w:rPr>
        <w:t>veřejná zakázka na služby</w:t>
      </w:r>
    </w:p>
    <w:p w14:paraId="00E56A69" w14:textId="77777777" w:rsidR="007F7D06" w:rsidRPr="00A25FD4" w:rsidRDefault="007F7D06" w:rsidP="007F7D06">
      <w:pPr>
        <w:pStyle w:val="NoSpacing"/>
        <w:jc w:val="both"/>
      </w:pPr>
    </w:p>
    <w:p w14:paraId="7C2FEBB3" w14:textId="37F17FC2" w:rsidR="007F7D06" w:rsidRPr="00A25FD4" w:rsidRDefault="007F7D06" w:rsidP="007F7D06">
      <w:pPr>
        <w:pStyle w:val="NoSpacing"/>
        <w:jc w:val="both"/>
      </w:pPr>
      <w:r w:rsidRPr="00A25FD4">
        <w:t xml:space="preserve">Zadavatel výslovně upozorňuje, že předmětná veřejná zakázka malého rozsahu na služby je zadávaná mimo režim ZZVZ. To platí i v případě, že zadavatel při zadání této zakázky použije terminologii ZZVZ, příp. jeho část v přímé citaci. </w:t>
      </w:r>
      <w:r>
        <w:t xml:space="preserve">Pro </w:t>
      </w:r>
      <w:r w:rsidR="0EB846D1">
        <w:t>postup při výběru dodavatele pro tuto veřejnou zakázku</w:t>
      </w:r>
      <w:r w:rsidRPr="00A25FD4">
        <w:t xml:space="preserve"> jsou rozhodné pouze </w:t>
      </w:r>
      <w:r w:rsidR="168BE6CC">
        <w:t xml:space="preserve">zadávací </w:t>
      </w:r>
      <w:r w:rsidRPr="00A25FD4">
        <w:t>podmínky stanovené v této zadávací dokumentaci.</w:t>
      </w:r>
    </w:p>
    <w:p w14:paraId="55721CA7" w14:textId="77777777" w:rsidR="007F7D06" w:rsidRDefault="007F7D06" w:rsidP="006E3D7D"/>
    <w:p w14:paraId="15C203F8" w14:textId="77777777" w:rsidR="007F7D06" w:rsidRPr="00563850" w:rsidRDefault="007F7D06" w:rsidP="005E32D4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contextualSpacing w:val="0"/>
        <w:jc w:val="both"/>
        <w:textAlignment w:val="baseline"/>
        <w:rPr>
          <w:b/>
        </w:rPr>
      </w:pPr>
      <w:r>
        <w:rPr>
          <w:b/>
        </w:rPr>
        <w:t>Vymezení předmětu veřejné zakázky</w:t>
      </w:r>
    </w:p>
    <w:p w14:paraId="5BB42B9D" w14:textId="2A517920" w:rsidR="00606F3D" w:rsidRPr="001F3F6F" w:rsidRDefault="00606F3D" w:rsidP="00606F3D">
      <w:pPr>
        <w:spacing w:before="120"/>
        <w:jc w:val="both"/>
        <w:rPr>
          <w:b/>
          <w:bCs/>
        </w:rPr>
      </w:pPr>
      <w:r w:rsidRPr="001F3F6F">
        <w:rPr>
          <w:b/>
          <w:bCs/>
        </w:rPr>
        <w:t>Předmětem zakázky je vytvoření:</w:t>
      </w:r>
    </w:p>
    <w:p w14:paraId="3376A781" w14:textId="77777777" w:rsidR="009D013E" w:rsidRPr="009D013E" w:rsidRDefault="009D013E" w:rsidP="00C91601">
      <w:pPr>
        <w:numPr>
          <w:ilvl w:val="0"/>
          <w:numId w:val="21"/>
        </w:numPr>
        <w:spacing w:before="120"/>
        <w:jc w:val="both"/>
      </w:pPr>
      <w:r w:rsidRPr="009D013E">
        <w:t>Vytvoření loga a jednotné vizuální identity Metropolitních oblastí a aglomerací ČR, využívajících nástroj integrovaných územních investic (ITI). Logo bude sjednocovat veškeré aktivity Metropolitních oblastí a aglomerací ČR v rámci informování o jejich činnosti v České republice;  </w:t>
      </w:r>
    </w:p>
    <w:p w14:paraId="6A04D2E2" w14:textId="77777777" w:rsidR="009D013E" w:rsidRPr="009D013E" w:rsidRDefault="009D013E" w:rsidP="00C91601">
      <w:pPr>
        <w:numPr>
          <w:ilvl w:val="0"/>
          <w:numId w:val="22"/>
        </w:numPr>
        <w:spacing w:before="120"/>
        <w:jc w:val="both"/>
      </w:pPr>
      <w:r w:rsidRPr="009D013E">
        <w:t>Vytvoření grafického a design manuálu využívání loga a vizuální identity; Design manuál obsahuje konkrétní pravidla a doporučení pro používání grafických znaků, barevné palety, </w:t>
      </w:r>
    </w:p>
    <w:p w14:paraId="561B0BD5" w14:textId="48D55883" w:rsidR="009D013E" w:rsidRPr="009D013E" w:rsidRDefault="009D013E" w:rsidP="00C91601">
      <w:pPr>
        <w:numPr>
          <w:ilvl w:val="0"/>
          <w:numId w:val="23"/>
        </w:numPr>
        <w:spacing w:before="120"/>
        <w:jc w:val="both"/>
      </w:pPr>
      <w:r w:rsidRPr="009D013E">
        <w:t xml:space="preserve">Vytvoření layoutu pro plakáty, </w:t>
      </w:r>
      <w:proofErr w:type="spellStart"/>
      <w:r w:rsidRPr="009D013E">
        <w:t>powerpoint</w:t>
      </w:r>
      <w:proofErr w:type="spellEnd"/>
      <w:r w:rsidRPr="009D013E">
        <w:t xml:space="preserve"> prezentace, newslettery a digitální obsah na sociální sítě,  </w:t>
      </w:r>
    </w:p>
    <w:p w14:paraId="1424BA44" w14:textId="6B97B9E6" w:rsidR="007D651A" w:rsidRDefault="007D651A" w:rsidP="00C91601">
      <w:pPr>
        <w:numPr>
          <w:ilvl w:val="0"/>
          <w:numId w:val="24"/>
        </w:numPr>
        <w:spacing w:before="120"/>
        <w:jc w:val="both"/>
      </w:pPr>
      <w:r w:rsidRPr="00DB54B1">
        <w:t xml:space="preserve">Vytvoření </w:t>
      </w:r>
      <w:r w:rsidR="00EA0727" w:rsidRPr="00DB54B1">
        <w:t>grafi</w:t>
      </w:r>
      <w:r w:rsidR="00DB54B1" w:rsidRPr="00DB54B1">
        <w:t>ckého návrhu letáku</w:t>
      </w:r>
      <w:r w:rsidR="008F7F0C">
        <w:t xml:space="preserve"> (2 strany</w:t>
      </w:r>
      <w:r w:rsidR="00715F6C">
        <w:t>; CZ/AJ verze</w:t>
      </w:r>
      <w:r w:rsidR="008F7F0C">
        <w:t>)</w:t>
      </w:r>
      <w:r w:rsidR="00DB54B1" w:rsidRPr="00DB54B1">
        <w:t>, brožury</w:t>
      </w:r>
      <w:r w:rsidR="008F7F0C">
        <w:t xml:space="preserve"> (max 20 stran</w:t>
      </w:r>
      <w:r w:rsidR="00715F6C">
        <w:t>; CZ/AJ verze</w:t>
      </w:r>
      <w:r w:rsidR="008F7F0C">
        <w:t>)</w:t>
      </w:r>
      <w:r w:rsidR="00DB54B1" w:rsidRPr="00DB54B1">
        <w:t xml:space="preserve"> a </w:t>
      </w:r>
      <w:proofErr w:type="spellStart"/>
      <w:r w:rsidR="00DB54B1" w:rsidRPr="00DB54B1">
        <w:t>roll-upu</w:t>
      </w:r>
      <w:proofErr w:type="spellEnd"/>
      <w:r w:rsidR="00DB54B1" w:rsidRPr="00DB54B1">
        <w:t xml:space="preserve"> k dané problematice.</w:t>
      </w:r>
    </w:p>
    <w:p w14:paraId="1EBDC43C" w14:textId="0D290981" w:rsidR="002E3490" w:rsidRDefault="008E6FD3" w:rsidP="00A34426">
      <w:pPr>
        <w:spacing w:before="120"/>
        <w:jc w:val="both"/>
      </w:pPr>
      <w:r w:rsidRPr="00833BFA">
        <w:t>Předmětem z</w:t>
      </w:r>
      <w:r w:rsidR="00CE7F3B" w:rsidRPr="00833BFA">
        <w:t xml:space="preserve">akázky </w:t>
      </w:r>
      <w:r w:rsidR="00A34426" w:rsidRPr="00833BFA">
        <w:t>je odborné zpracování design manuálu společné publicity nástroje ITI a grafické práce k zajištění tvorby výstupů využívající stanovené kreativy v design manuálu. Design manuál vychází ze stanovených komunikačních cílů, aktivit a kanálů vycházejících z Komunikační strategie propagace nástroje ITI a metropolitní spolupráce</w:t>
      </w:r>
      <w:r w:rsidR="00DB54B1">
        <w:t xml:space="preserve"> (Příloha č.1)</w:t>
      </w:r>
      <w:r w:rsidR="00A34426" w:rsidRPr="00833BFA">
        <w:t xml:space="preserve">. Klíčovým prvkem této činnosti je vytvoření </w:t>
      </w:r>
      <w:r w:rsidR="008F7F0C">
        <w:t xml:space="preserve">loga a </w:t>
      </w:r>
      <w:r w:rsidR="00A34426" w:rsidRPr="00833BFA">
        <w:t>design manuálu</w:t>
      </w:r>
      <w:r w:rsidR="008F7F0C">
        <w:t xml:space="preserve"> a následných dílčích grafik.</w:t>
      </w:r>
      <w:r w:rsidR="00A34426" w:rsidRPr="00833BFA">
        <w:t xml:space="preserve">, který bude sloužit jako nástroj pro všechny komunikační aktivity a bude obsahovat konkrétní Cílem je vytvořit silný a jednotný vizuální styl, který nejen </w:t>
      </w:r>
      <w:proofErr w:type="gramStart"/>
      <w:r w:rsidR="00A34426" w:rsidRPr="00833BFA">
        <w:t>zvýší</w:t>
      </w:r>
      <w:proofErr w:type="gramEnd"/>
      <w:r w:rsidR="00A34426" w:rsidRPr="00833BFA">
        <w:t xml:space="preserve"> povědomí o </w:t>
      </w:r>
      <w:r w:rsidR="008F7F0C">
        <w:t xml:space="preserve">metropolitních oblastí a aglomerací ČR, </w:t>
      </w:r>
      <w:r w:rsidR="00A34426" w:rsidRPr="00833BFA">
        <w:t xml:space="preserve">nástroji ITI, ale také posílí jeho vnímání jako moderního a efektivního nástroje pro podporu metropolitní spolupráce. Grafické návrhy komunikačních materiálů jako jsou brožury a letáky v českém a anglickém jazyce budou sloužit k propagaci nástroje ITI a společné publicity. </w:t>
      </w:r>
    </w:p>
    <w:p w14:paraId="230482AC" w14:textId="77777777" w:rsidR="001637E7" w:rsidRDefault="001637E7" w:rsidP="001637E7">
      <w:pPr>
        <w:jc w:val="both"/>
      </w:pPr>
    </w:p>
    <w:p w14:paraId="34398959" w14:textId="0CDB6A86" w:rsidR="008E6FD3" w:rsidRPr="00ED3F68" w:rsidRDefault="00606F3D" w:rsidP="00F3024C">
      <w:pPr>
        <w:jc w:val="both"/>
      </w:pPr>
      <w:r>
        <w:t>Podrobný popis zakázky je sou</w:t>
      </w:r>
      <w:r w:rsidR="00437910">
        <w:t xml:space="preserve">částí přílohy č. </w:t>
      </w:r>
      <w:r w:rsidR="00116E2A">
        <w:t>2</w:t>
      </w:r>
      <w:r w:rsidR="00437910">
        <w:t xml:space="preserve"> těchto zadávacích podmínek</w:t>
      </w:r>
      <w:r w:rsidR="00982B06">
        <w:t>, který se</w:t>
      </w:r>
      <w:r w:rsidR="00437910">
        <w:t xml:space="preserve"> po podpisu smlouvy </w:t>
      </w:r>
      <w:r w:rsidR="00982B06">
        <w:t xml:space="preserve">s vybraným dodavatelem </w:t>
      </w:r>
      <w:r w:rsidR="00437910">
        <w:t>stává její nedílnou součástí</w:t>
      </w:r>
      <w:r w:rsidR="00625201">
        <w:t xml:space="preserve"> jako </w:t>
      </w:r>
      <w:r w:rsidR="00B91B40">
        <w:t>příloha č. 1</w:t>
      </w:r>
      <w:r w:rsidR="00437910">
        <w:t>.</w:t>
      </w:r>
    </w:p>
    <w:p w14:paraId="1C0B8C66" w14:textId="77777777" w:rsidR="00606F3D" w:rsidRPr="001F3F6F" w:rsidRDefault="00606F3D" w:rsidP="00F3024C">
      <w:pPr>
        <w:jc w:val="both"/>
        <w:rPr>
          <w:b/>
        </w:rPr>
      </w:pPr>
    </w:p>
    <w:p w14:paraId="6F611BC2" w14:textId="63DE6EC5" w:rsidR="0026447F" w:rsidRPr="003806F8" w:rsidRDefault="0026447F" w:rsidP="002644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3806F8">
        <w:rPr>
          <w:rStyle w:val="normaltextrun"/>
          <w:b/>
          <w:bCs/>
        </w:rPr>
        <w:t>Doba plnění veřejné zakázky</w:t>
      </w:r>
      <w:r w:rsidR="00362960">
        <w:rPr>
          <w:rStyle w:val="normaltextrun"/>
          <w:b/>
          <w:bCs/>
        </w:rPr>
        <w:t>:</w:t>
      </w:r>
    </w:p>
    <w:p w14:paraId="7B72D2EA" w14:textId="77777777" w:rsidR="0026447F" w:rsidRDefault="0026447F" w:rsidP="002644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</w:p>
    <w:p w14:paraId="7F125B82" w14:textId="77777777" w:rsidR="0026447F" w:rsidRDefault="0026447F" w:rsidP="002644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  <w:r>
        <w:rPr>
          <w:rStyle w:val="normaltextrun"/>
          <w:bCs/>
          <w:u w:val="single"/>
        </w:rPr>
        <w:t>Termín zahájení prací:</w:t>
      </w:r>
      <w:r>
        <w:rPr>
          <w:rStyle w:val="normaltextrun"/>
          <w:bCs/>
        </w:rPr>
        <w:t xml:space="preserve"> okamžitě po uzavření smlouvy</w:t>
      </w:r>
    </w:p>
    <w:p w14:paraId="7E4D77D8" w14:textId="77777777" w:rsidR="0026447F" w:rsidRDefault="0026447F" w:rsidP="002644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u w:val="single"/>
        </w:rPr>
      </w:pPr>
    </w:p>
    <w:p w14:paraId="59C7BE4D" w14:textId="3276BDA6" w:rsidR="0026447F" w:rsidRPr="003F5B42" w:rsidRDefault="0026447F" w:rsidP="002644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u w:val="single"/>
        </w:rPr>
        <w:t xml:space="preserve">Průběh </w:t>
      </w:r>
      <w:r w:rsidRPr="003F5B42">
        <w:rPr>
          <w:rStyle w:val="normaltextrun"/>
          <w:u w:val="single"/>
        </w:rPr>
        <w:t>zakázky</w:t>
      </w:r>
      <w:r w:rsidRPr="003F5B42">
        <w:rPr>
          <w:rStyle w:val="normaltextrun"/>
        </w:rPr>
        <w:t>:</w:t>
      </w:r>
    </w:p>
    <w:p w14:paraId="5EDC774C" w14:textId="2CE9F6D8" w:rsidR="0026447F" w:rsidRPr="003C3354" w:rsidRDefault="0026447F" w:rsidP="000D1911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</w:rPr>
      </w:pPr>
      <w:r w:rsidRPr="6F9A5903">
        <w:rPr>
          <w:rStyle w:val="normaltextrun"/>
        </w:rPr>
        <w:t xml:space="preserve">Vyhlášení veřejné zakázky: </w:t>
      </w:r>
      <w:r w:rsidR="6D69CE48" w:rsidRPr="20C48FF5">
        <w:rPr>
          <w:rStyle w:val="normaltextrun"/>
        </w:rPr>
        <w:t>7</w:t>
      </w:r>
      <w:r w:rsidR="00165126" w:rsidRPr="6F9A5903">
        <w:rPr>
          <w:rStyle w:val="normaltextrun"/>
        </w:rPr>
        <w:t>.</w:t>
      </w:r>
      <w:r w:rsidR="00B57742" w:rsidRPr="6F9A5903">
        <w:rPr>
          <w:rStyle w:val="normaltextrun"/>
        </w:rPr>
        <w:t>5</w:t>
      </w:r>
      <w:r w:rsidR="00165126" w:rsidRPr="6F9A5903">
        <w:rPr>
          <w:rStyle w:val="normaltextrun"/>
        </w:rPr>
        <w:t>.</w:t>
      </w:r>
      <w:r w:rsidR="00B57742" w:rsidRPr="6F9A5903">
        <w:rPr>
          <w:rStyle w:val="normaltextrun"/>
        </w:rPr>
        <w:t xml:space="preserve"> </w:t>
      </w:r>
      <w:r w:rsidRPr="6F9A5903">
        <w:rPr>
          <w:rStyle w:val="normaltextrun"/>
        </w:rPr>
        <w:t>202</w:t>
      </w:r>
      <w:r w:rsidR="00B57742" w:rsidRPr="6F9A5903">
        <w:rPr>
          <w:rStyle w:val="normaltextrun"/>
        </w:rPr>
        <w:t>5</w:t>
      </w:r>
    </w:p>
    <w:p w14:paraId="4AD98AF5" w14:textId="159A41AC" w:rsidR="0026447F" w:rsidRPr="003C3354" w:rsidRDefault="0026447F" w:rsidP="000D1911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</w:rPr>
      </w:pPr>
      <w:r w:rsidRPr="6F9A5903">
        <w:rPr>
          <w:rStyle w:val="normaltextrun"/>
        </w:rPr>
        <w:t xml:space="preserve">Odevzdání </w:t>
      </w:r>
      <w:r w:rsidR="00BF6EBD" w:rsidRPr="6F9A5903">
        <w:rPr>
          <w:rStyle w:val="normaltextrun"/>
        </w:rPr>
        <w:t>nabídky a konceptu</w:t>
      </w:r>
      <w:r w:rsidRPr="6F9A5903">
        <w:rPr>
          <w:rStyle w:val="normaltextrun"/>
        </w:rPr>
        <w:t xml:space="preserve">: </w:t>
      </w:r>
      <w:r w:rsidR="01F709B5" w:rsidRPr="6F9A5903">
        <w:rPr>
          <w:rStyle w:val="normaltextrun"/>
        </w:rPr>
        <w:t xml:space="preserve">19. </w:t>
      </w:r>
      <w:r w:rsidR="00D10F8E" w:rsidRPr="6F9A5903">
        <w:rPr>
          <w:rStyle w:val="normaltextrun"/>
        </w:rPr>
        <w:t>5</w:t>
      </w:r>
      <w:r w:rsidR="00165126" w:rsidRPr="6F9A5903">
        <w:rPr>
          <w:rStyle w:val="normaltextrun"/>
        </w:rPr>
        <w:t>.</w:t>
      </w:r>
      <w:r w:rsidRPr="6F9A5903">
        <w:rPr>
          <w:rStyle w:val="normaltextrun"/>
        </w:rPr>
        <w:t xml:space="preserve"> 202</w:t>
      </w:r>
      <w:r w:rsidR="00D10F8E" w:rsidRPr="6F9A5903">
        <w:rPr>
          <w:rStyle w:val="normaltextrun"/>
        </w:rPr>
        <w:t>5</w:t>
      </w:r>
    </w:p>
    <w:p w14:paraId="2B3E312A" w14:textId="378EF1DC" w:rsidR="0026447F" w:rsidRPr="003C3354" w:rsidRDefault="0026447F" w:rsidP="000D1911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</w:rPr>
      </w:pPr>
      <w:r w:rsidRPr="6F9A5903">
        <w:rPr>
          <w:rStyle w:val="normaltextrun"/>
        </w:rPr>
        <w:t>Zveřejnění výsledků: nejpozději do</w:t>
      </w:r>
      <w:r w:rsidR="00165126" w:rsidRPr="6F9A5903">
        <w:rPr>
          <w:rStyle w:val="normaltextrun"/>
        </w:rPr>
        <w:t xml:space="preserve"> </w:t>
      </w:r>
      <w:r w:rsidR="421CDFBC" w:rsidRPr="6F9A5903">
        <w:rPr>
          <w:rStyle w:val="normaltextrun"/>
        </w:rPr>
        <w:t>23</w:t>
      </w:r>
      <w:r w:rsidR="00B300DE" w:rsidRPr="6F9A5903">
        <w:rPr>
          <w:rStyle w:val="normaltextrun"/>
        </w:rPr>
        <w:t>.</w:t>
      </w:r>
      <w:r w:rsidR="003C3354" w:rsidRPr="6F9A5903">
        <w:rPr>
          <w:rStyle w:val="normaltextrun"/>
        </w:rPr>
        <w:t xml:space="preserve"> </w:t>
      </w:r>
      <w:r w:rsidR="3EBD0E5B" w:rsidRPr="6F9A5903">
        <w:rPr>
          <w:rStyle w:val="normaltextrun"/>
        </w:rPr>
        <w:t>5</w:t>
      </w:r>
      <w:r w:rsidR="00B300DE" w:rsidRPr="6F9A5903">
        <w:rPr>
          <w:rStyle w:val="normaltextrun"/>
        </w:rPr>
        <w:t>.</w:t>
      </w:r>
      <w:r w:rsidRPr="6F9A5903">
        <w:rPr>
          <w:rStyle w:val="normaltextrun"/>
        </w:rPr>
        <w:t xml:space="preserve"> 202</w:t>
      </w:r>
      <w:r w:rsidR="003C3354" w:rsidRPr="6F9A5903">
        <w:rPr>
          <w:rStyle w:val="normaltextrun"/>
        </w:rPr>
        <w:t>5</w:t>
      </w:r>
    </w:p>
    <w:p w14:paraId="0BF0CFEF" w14:textId="77777777" w:rsidR="0026447F" w:rsidRPr="003C3354" w:rsidRDefault="0026447F" w:rsidP="000D1911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</w:rPr>
      </w:pPr>
      <w:r w:rsidRPr="6F9A5903">
        <w:rPr>
          <w:rStyle w:val="normaltextrun"/>
        </w:rPr>
        <w:t>Podpis smlouvy o dílo: následně</w:t>
      </w:r>
    </w:p>
    <w:p w14:paraId="3065B5BA" w14:textId="100F942B" w:rsidR="0026447F" w:rsidRDefault="0026447F" w:rsidP="000D1911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</w:rPr>
      </w:pPr>
      <w:r w:rsidRPr="6F9A5903">
        <w:rPr>
          <w:rStyle w:val="normaltextrun"/>
        </w:rPr>
        <w:t>Odevzdání práce</w:t>
      </w:r>
      <w:r w:rsidR="46FA2FBD" w:rsidRPr="6F9A5903">
        <w:rPr>
          <w:rStyle w:val="normaltextrun"/>
        </w:rPr>
        <w:t xml:space="preserve"> (finální produkt po připomínkách)</w:t>
      </w:r>
      <w:r w:rsidRPr="6F9A5903">
        <w:rPr>
          <w:rStyle w:val="normaltextrun"/>
        </w:rPr>
        <w:t xml:space="preserve">: nejpozději do </w:t>
      </w:r>
      <w:r w:rsidR="00597907" w:rsidRPr="6F9A5903">
        <w:rPr>
          <w:rStyle w:val="normaltextrun"/>
        </w:rPr>
        <w:t>3</w:t>
      </w:r>
      <w:r w:rsidR="00624DD0" w:rsidRPr="6F9A5903">
        <w:rPr>
          <w:rStyle w:val="normaltextrun"/>
        </w:rPr>
        <w:t>1</w:t>
      </w:r>
      <w:r w:rsidRPr="6F9A5903">
        <w:rPr>
          <w:rStyle w:val="normaltextrun"/>
        </w:rPr>
        <w:t>.</w:t>
      </w:r>
      <w:r w:rsidR="0A487186" w:rsidRPr="20C48FF5">
        <w:rPr>
          <w:rStyle w:val="normaltextrun"/>
        </w:rPr>
        <w:t>3.</w:t>
      </w:r>
      <w:r w:rsidRPr="20C48FF5">
        <w:rPr>
          <w:rStyle w:val="normaltextrun"/>
        </w:rPr>
        <w:t xml:space="preserve"> 202</w:t>
      </w:r>
      <w:r w:rsidR="5F33A848" w:rsidRPr="20C48FF5">
        <w:rPr>
          <w:rStyle w:val="normaltextrun"/>
        </w:rPr>
        <w:t>6</w:t>
      </w:r>
    </w:p>
    <w:p w14:paraId="59BAD9B0" w14:textId="77777777" w:rsidR="00136B2C" w:rsidRDefault="00136B2C" w:rsidP="000D1911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</w:rPr>
      </w:pPr>
    </w:p>
    <w:p w14:paraId="051B1E69" w14:textId="60AF9B0B" w:rsidR="005672E5" w:rsidRPr="00602F22" w:rsidRDefault="005672E5" w:rsidP="005E32D4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pacing w:before="120"/>
        <w:ind w:hanging="720"/>
        <w:jc w:val="both"/>
        <w:rPr>
          <w:b/>
        </w:rPr>
      </w:pPr>
      <w:r w:rsidRPr="7D82B08C">
        <w:rPr>
          <w:b/>
          <w:bCs/>
        </w:rPr>
        <w:t>Požadavky</w:t>
      </w:r>
      <w:r w:rsidRPr="00602F22">
        <w:rPr>
          <w:b/>
        </w:rPr>
        <w:t xml:space="preserve"> na kvalifikační předpoklady</w:t>
      </w:r>
    </w:p>
    <w:p w14:paraId="7C6A631B" w14:textId="77777777" w:rsidR="006C1C37" w:rsidRDefault="006C1C37" w:rsidP="006C1C37">
      <w:pPr>
        <w:spacing w:before="120"/>
        <w:jc w:val="both"/>
      </w:pPr>
      <w:r>
        <w:t>Kvalifikovaným pro plnění této veřejné zakázky bude ten dodavatel, který prokáže splnění následujících požadavků:</w:t>
      </w:r>
    </w:p>
    <w:p w14:paraId="1868EF28" w14:textId="77777777" w:rsidR="006C1C37" w:rsidRDefault="006C1C37" w:rsidP="005E32D4">
      <w:pPr>
        <w:pStyle w:val="ListParagraph"/>
        <w:numPr>
          <w:ilvl w:val="0"/>
          <w:numId w:val="16"/>
        </w:numPr>
        <w:suppressAutoHyphens/>
        <w:autoSpaceDN w:val="0"/>
        <w:spacing w:before="120"/>
        <w:contextualSpacing w:val="0"/>
        <w:jc w:val="both"/>
      </w:pPr>
      <w:r>
        <w:t>základní způsobilost ve smyslu § 74 a § 75 ZZVZ (odstavec 4. 1)</w:t>
      </w:r>
    </w:p>
    <w:p w14:paraId="0CAB9E30" w14:textId="77777777" w:rsidR="006C1C37" w:rsidRDefault="006C1C37" w:rsidP="005E32D4">
      <w:pPr>
        <w:pStyle w:val="ListParagraph"/>
        <w:numPr>
          <w:ilvl w:val="0"/>
          <w:numId w:val="16"/>
        </w:numPr>
        <w:suppressAutoHyphens/>
        <w:autoSpaceDN w:val="0"/>
        <w:spacing w:before="120"/>
        <w:contextualSpacing w:val="0"/>
        <w:jc w:val="both"/>
      </w:pPr>
      <w:r>
        <w:t>profesní způsobilost ve smyslu § 78 ZZVZ (odstavec 4. 2)</w:t>
      </w:r>
    </w:p>
    <w:p w14:paraId="2EE043F2" w14:textId="77777777" w:rsidR="006C1C37" w:rsidRDefault="006C1C37" w:rsidP="005E32D4">
      <w:pPr>
        <w:pStyle w:val="ListParagraph"/>
        <w:numPr>
          <w:ilvl w:val="0"/>
          <w:numId w:val="16"/>
        </w:numPr>
        <w:suppressAutoHyphens/>
        <w:autoSpaceDN w:val="0"/>
        <w:spacing w:before="120"/>
        <w:contextualSpacing w:val="0"/>
        <w:jc w:val="both"/>
      </w:pPr>
      <w:r>
        <w:t>ekonomická kvalifikace ve smyslu § 78 ZZVZ (odstavec 4. 3)</w:t>
      </w:r>
    </w:p>
    <w:p w14:paraId="6C9B70B4" w14:textId="77777777" w:rsidR="006C1C37" w:rsidRDefault="006C1C37" w:rsidP="005E32D4">
      <w:pPr>
        <w:pStyle w:val="ListParagraph"/>
        <w:numPr>
          <w:ilvl w:val="0"/>
          <w:numId w:val="16"/>
        </w:numPr>
        <w:suppressAutoHyphens/>
        <w:autoSpaceDN w:val="0"/>
        <w:spacing w:before="120"/>
        <w:contextualSpacing w:val="0"/>
        <w:jc w:val="both"/>
      </w:pPr>
      <w:r>
        <w:t>technická kvalifikace ve smyslu § 79 ZZVZ (odstavec 4. 4)</w:t>
      </w:r>
    </w:p>
    <w:p w14:paraId="2C2675A5" w14:textId="05E313B6" w:rsidR="1F213EC1" w:rsidRDefault="1F213EC1" w:rsidP="1F213EC1">
      <w:pPr>
        <w:spacing w:before="120"/>
        <w:jc w:val="both"/>
        <w:rPr>
          <w:b/>
          <w:bCs/>
        </w:rPr>
      </w:pPr>
    </w:p>
    <w:p w14:paraId="29A66A8D" w14:textId="7960C032" w:rsidR="006C1C37" w:rsidRPr="006C1C37" w:rsidRDefault="006C1C37" w:rsidP="006C1C37">
      <w:pPr>
        <w:spacing w:before="120"/>
        <w:jc w:val="both"/>
        <w:rPr>
          <w:b/>
        </w:rPr>
      </w:pPr>
      <w:r w:rsidRPr="006C1C37">
        <w:rPr>
          <w:b/>
        </w:rPr>
        <w:t>4. 1. Základní způsobilost</w:t>
      </w:r>
    </w:p>
    <w:p w14:paraId="70526A67" w14:textId="77777777" w:rsidR="006C1C37" w:rsidRDefault="006C1C37" w:rsidP="006C1C37">
      <w:pPr>
        <w:spacing w:before="120"/>
        <w:jc w:val="both"/>
      </w:pPr>
      <w:r w:rsidRPr="006C1C37">
        <w:t>Zadavatel požaduje k prokázání splnění podmínek základní způsobilosti předložení čestného prohlášení o splnění podmínek dle § 74 ZZVZ, tj. o tom, že:</w:t>
      </w:r>
    </w:p>
    <w:p w14:paraId="24C8F7B1" w14:textId="2101F279" w:rsidR="006C1C37" w:rsidRPr="00E033B1" w:rsidRDefault="45B51E04" w:rsidP="2B0B9ABE">
      <w:pPr>
        <w:pStyle w:val="ListParagraph"/>
        <w:numPr>
          <w:ilvl w:val="0"/>
          <w:numId w:val="17"/>
        </w:numPr>
        <w:suppressAutoHyphens/>
        <w:autoSpaceDN w:val="0"/>
        <w:spacing w:before="120"/>
        <w:jc w:val="both"/>
        <w:textAlignment w:val="baseline"/>
        <w:rPr>
          <w:b/>
        </w:rPr>
      </w:pPr>
      <w:r>
        <w:t>dodavatel</w:t>
      </w:r>
      <w:r w:rsidR="006C1C37" w:rsidRPr="00E033B1">
        <w:t xml:space="preserve"> nebyl v </w:t>
      </w:r>
      <w:r w:rsidR="006C1C37" w:rsidRPr="2B0B9ABE">
        <w:rPr>
          <w:color w:val="000000" w:themeColor="text1"/>
        </w:rPr>
        <w:t>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4CD307F5" w14:textId="7E748CAB" w:rsidR="006C1C37" w:rsidRPr="00E033B1" w:rsidRDefault="31508B43" w:rsidP="2B0B9ABE">
      <w:pPr>
        <w:pStyle w:val="ListParagraph"/>
        <w:numPr>
          <w:ilvl w:val="0"/>
          <w:numId w:val="17"/>
        </w:numPr>
        <w:suppressAutoHyphens/>
        <w:autoSpaceDN w:val="0"/>
        <w:spacing w:before="120"/>
        <w:jc w:val="both"/>
        <w:textAlignment w:val="baseline"/>
        <w:rPr>
          <w:b/>
        </w:rPr>
      </w:pPr>
      <w:r>
        <w:t>dodavatel</w:t>
      </w:r>
      <w:r w:rsidR="006C1C37" w:rsidRPr="2B0B9ABE">
        <w:rPr>
          <w:color w:val="000000" w:themeColor="text1"/>
        </w:rPr>
        <w:t xml:space="preserve"> nemá v České republice nebo v zemi svého sídla v evidenci daní zachycen splatný daňový nedoplatek,</w:t>
      </w:r>
    </w:p>
    <w:p w14:paraId="56E526DB" w14:textId="461B839F" w:rsidR="006C1C37" w:rsidRPr="00E033B1" w:rsidRDefault="50254CE0" w:rsidP="2B0B9ABE">
      <w:pPr>
        <w:pStyle w:val="ListParagraph"/>
        <w:numPr>
          <w:ilvl w:val="0"/>
          <w:numId w:val="17"/>
        </w:numPr>
        <w:suppressAutoHyphens/>
        <w:autoSpaceDN w:val="0"/>
        <w:spacing w:before="120"/>
        <w:jc w:val="both"/>
        <w:textAlignment w:val="baseline"/>
        <w:rPr>
          <w:b/>
        </w:rPr>
      </w:pPr>
      <w:r>
        <w:t>dodavatel</w:t>
      </w:r>
      <w:r w:rsidR="006C1C37" w:rsidRPr="2B0B9ABE">
        <w:rPr>
          <w:color w:val="000000" w:themeColor="text1"/>
        </w:rPr>
        <w:t xml:space="preserve"> nemá v České republice nebo v zemi svého sídla splatný nedoplatek na pojistném nebo na penále na veřejné zdravotní pojištění,</w:t>
      </w:r>
    </w:p>
    <w:p w14:paraId="30108C22" w14:textId="290AFE6D" w:rsidR="006C1C37" w:rsidRPr="00E033B1" w:rsidRDefault="414F8951" w:rsidP="2B0B9ABE">
      <w:pPr>
        <w:pStyle w:val="ListParagraph"/>
        <w:numPr>
          <w:ilvl w:val="0"/>
          <w:numId w:val="17"/>
        </w:numPr>
        <w:suppressAutoHyphens/>
        <w:autoSpaceDN w:val="0"/>
        <w:spacing w:before="120"/>
        <w:jc w:val="both"/>
        <w:textAlignment w:val="baseline"/>
        <w:rPr>
          <w:b/>
        </w:rPr>
      </w:pPr>
      <w:r>
        <w:t>dodavatel</w:t>
      </w:r>
      <w:r w:rsidR="006C1C37" w:rsidRPr="2B0B9ABE">
        <w:rPr>
          <w:color w:val="000000" w:themeColor="text1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05DCAF66" w14:textId="0CB5302C" w:rsidR="006C1C37" w:rsidRPr="00E033B1" w:rsidRDefault="5D861365" w:rsidP="2B0B9ABE">
      <w:pPr>
        <w:pStyle w:val="ListParagraph"/>
        <w:numPr>
          <w:ilvl w:val="0"/>
          <w:numId w:val="17"/>
        </w:numPr>
        <w:suppressAutoHyphens/>
        <w:autoSpaceDN w:val="0"/>
        <w:spacing w:before="120"/>
        <w:jc w:val="both"/>
        <w:textAlignment w:val="baseline"/>
        <w:rPr>
          <w:b/>
        </w:rPr>
      </w:pPr>
      <w:r>
        <w:t>dodavatel</w:t>
      </w:r>
      <w:r w:rsidR="006C1C37" w:rsidRPr="2B0B9ABE">
        <w:rPr>
          <w:color w:val="000000" w:themeColor="text1"/>
        </w:rPr>
        <w:t xml:space="preserve"> není v likvidaci nebo proti němu nebylo vydáno rozhodnutí o úpadku, nebo vůči </w:t>
      </w:r>
      <w:r w:rsidR="0320D93F">
        <w:t>dodavateli</w:t>
      </w:r>
      <w:r w:rsidR="006C1C37" w:rsidRPr="2B0B9ABE">
        <w:rPr>
          <w:color w:val="000000" w:themeColor="text1"/>
        </w:rPr>
        <w:t xml:space="preserve"> nebyla nařízena nucená správa podle jiného právního předpisu nebo že </w:t>
      </w:r>
      <w:r w:rsidR="30D85964">
        <w:t>dodavatel</w:t>
      </w:r>
      <w:r w:rsidR="006C1C37" w:rsidRPr="2B0B9ABE">
        <w:rPr>
          <w:color w:val="000000" w:themeColor="text1"/>
        </w:rPr>
        <w:t xml:space="preserve"> není v obdobné situaci podle právního řádu země sídla dodavatele.</w:t>
      </w:r>
    </w:p>
    <w:p w14:paraId="7E41949F" w14:textId="77777777" w:rsidR="006C1C37" w:rsidRPr="00B14E5D" w:rsidRDefault="006C1C37" w:rsidP="006C1C37">
      <w:pPr>
        <w:spacing w:before="120"/>
        <w:jc w:val="both"/>
        <w:rPr>
          <w:sz w:val="12"/>
          <w:szCs w:val="12"/>
        </w:rPr>
      </w:pPr>
    </w:p>
    <w:p w14:paraId="34EF9D49" w14:textId="77777777" w:rsidR="006C1C37" w:rsidRPr="00E033B1" w:rsidRDefault="006C1C37" w:rsidP="006C1C37">
      <w:pPr>
        <w:jc w:val="both"/>
        <w:rPr>
          <w:b/>
        </w:rPr>
      </w:pPr>
      <w:r w:rsidRPr="00E033B1">
        <w:rPr>
          <w:b/>
        </w:rPr>
        <w:t>4. 2. Profesní způsobilost</w:t>
      </w:r>
    </w:p>
    <w:p w14:paraId="6771C75E" w14:textId="22836D1F" w:rsidR="006C1C37" w:rsidRDefault="006C1C37" w:rsidP="006C1C37">
      <w:pPr>
        <w:spacing w:before="120"/>
        <w:jc w:val="both"/>
      </w:pPr>
      <w:r w:rsidRPr="00E033B1">
        <w:t>Zadavatel požaduje k prokázání splnění profesní způsobilosti předložení výpisu z obchodního rejstříku nebo jiné obdobné evidence, pokud jiný právní předpis zápis do takové evidence vyžaduje</w:t>
      </w:r>
      <w:r>
        <w:t xml:space="preserve">. Tuto povinnost </w:t>
      </w:r>
      <w:r w:rsidR="380CD42C">
        <w:t>dodavatel</w:t>
      </w:r>
      <w:r>
        <w:t xml:space="preserve"> splní uvedením hypertextového odkazu na veřejnou část dané evidence v předmětné části krycího listu, který </w:t>
      </w:r>
      <w:proofErr w:type="gramStart"/>
      <w:r>
        <w:t>tvoří</w:t>
      </w:r>
      <w:proofErr w:type="gramEnd"/>
      <w:r>
        <w:t xml:space="preserve"> přílohu č. </w:t>
      </w:r>
      <w:r w:rsidR="005354DB">
        <w:t>2</w:t>
      </w:r>
      <w:r>
        <w:t xml:space="preserve"> těchto zadávacích podmínek</w:t>
      </w:r>
      <w:r w:rsidRPr="00E033B1">
        <w:t xml:space="preserve">. Dále </w:t>
      </w:r>
      <w:r>
        <w:t xml:space="preserve">zadavatel </w:t>
      </w:r>
      <w:r w:rsidRPr="00E033B1">
        <w:t>požaduje předložení dokladu, že je</w:t>
      </w:r>
      <w:r>
        <w:t xml:space="preserve"> </w:t>
      </w:r>
      <w:r w:rsidR="169085E4">
        <w:t>dodavatel</w:t>
      </w:r>
      <w:r w:rsidRPr="00E033B1">
        <w:t xml:space="preserve"> oprávněn podnikat v rozsahu odpovídajícímu předmětu veřejné zakázky (např. výpi</w:t>
      </w:r>
      <w:r>
        <w:t xml:space="preserve">s ze živnostenského rejstříku). Tuto povinnost splní </w:t>
      </w:r>
      <w:r w:rsidR="270A6C8F">
        <w:t>dodavatel</w:t>
      </w:r>
      <w:r>
        <w:t xml:space="preserve"> </w:t>
      </w:r>
      <w:r w:rsidRPr="00E033B1">
        <w:t>uvedením</w:t>
      </w:r>
      <w:r>
        <w:t xml:space="preserve"> hypertextového odkazu na veřejnou část dané evidence v předmětné části krycího listu.</w:t>
      </w:r>
    </w:p>
    <w:p w14:paraId="12FA56CA" w14:textId="77777777" w:rsidR="00937375" w:rsidRPr="006E571C" w:rsidRDefault="00937375" w:rsidP="006C1C37">
      <w:pPr>
        <w:spacing w:before="120"/>
        <w:jc w:val="both"/>
        <w:rPr>
          <w:b/>
          <w:sz w:val="12"/>
          <w:szCs w:val="12"/>
        </w:rPr>
      </w:pPr>
    </w:p>
    <w:p w14:paraId="3DA81BF4" w14:textId="77777777" w:rsidR="006C1C37" w:rsidRPr="00E033B1" w:rsidRDefault="006C1C37" w:rsidP="006C1C37">
      <w:pPr>
        <w:jc w:val="both"/>
        <w:rPr>
          <w:b/>
        </w:rPr>
      </w:pPr>
      <w:r w:rsidRPr="00E033B1">
        <w:rPr>
          <w:b/>
        </w:rPr>
        <w:t>4.</w:t>
      </w:r>
      <w:r>
        <w:rPr>
          <w:b/>
        </w:rPr>
        <w:t xml:space="preserve"> 3</w:t>
      </w:r>
      <w:r w:rsidRPr="00E033B1">
        <w:rPr>
          <w:b/>
        </w:rPr>
        <w:t xml:space="preserve">. </w:t>
      </w:r>
      <w:r>
        <w:rPr>
          <w:b/>
        </w:rPr>
        <w:t>Ekonomická kvalifikace</w:t>
      </w:r>
    </w:p>
    <w:p w14:paraId="754545C4" w14:textId="0F7CD2C7" w:rsidR="004823A2" w:rsidRDefault="006C1C37" w:rsidP="006C1C37">
      <w:pPr>
        <w:spacing w:before="120"/>
        <w:jc w:val="both"/>
      </w:pPr>
      <w:r>
        <w:t>Pro t</w:t>
      </w:r>
      <w:r w:rsidR="001F2155">
        <w:t>uto veřejnou zakázku není stanoven</w:t>
      </w:r>
      <w:r w:rsidR="00B40EDC">
        <w:t>a</w:t>
      </w:r>
      <w:r>
        <w:t>.</w:t>
      </w:r>
    </w:p>
    <w:p w14:paraId="67EB84DB" w14:textId="77777777" w:rsidR="00B63632" w:rsidRDefault="00B63632" w:rsidP="00B63632">
      <w:pPr>
        <w:suppressAutoHyphens/>
        <w:autoSpaceDN w:val="0"/>
        <w:jc w:val="both"/>
        <w:textAlignment w:val="baseline"/>
      </w:pPr>
    </w:p>
    <w:p w14:paraId="15C91FE0" w14:textId="77777777" w:rsidR="007F7D06" w:rsidRPr="00063454" w:rsidRDefault="007F7D06" w:rsidP="005E32D4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contextualSpacing w:val="0"/>
        <w:jc w:val="both"/>
        <w:textAlignment w:val="baseline"/>
        <w:rPr>
          <w:b/>
        </w:rPr>
      </w:pPr>
      <w:r>
        <w:rPr>
          <w:b/>
        </w:rPr>
        <w:t>H</w:t>
      </w:r>
      <w:r w:rsidRPr="009E20D7">
        <w:rPr>
          <w:b/>
        </w:rPr>
        <w:t>odnota</w:t>
      </w:r>
      <w:r>
        <w:rPr>
          <w:b/>
        </w:rPr>
        <w:t xml:space="preserve"> veřejné</w:t>
      </w:r>
      <w:r w:rsidRPr="00063454">
        <w:rPr>
          <w:b/>
        </w:rPr>
        <w:t xml:space="preserve"> </w:t>
      </w:r>
      <w:r>
        <w:rPr>
          <w:b/>
        </w:rPr>
        <w:t xml:space="preserve">zakázky </w:t>
      </w:r>
    </w:p>
    <w:p w14:paraId="5FD896FC" w14:textId="77777777" w:rsidR="009E1604" w:rsidRDefault="009E1604" w:rsidP="007C354A">
      <w:pPr>
        <w:pStyle w:val="NoSpacing"/>
      </w:pPr>
    </w:p>
    <w:p w14:paraId="13252DBF" w14:textId="05F333C0" w:rsidR="009E1604" w:rsidRDefault="009E1604" w:rsidP="007C354A">
      <w:pPr>
        <w:jc w:val="both"/>
      </w:pPr>
      <w:r w:rsidRPr="00433C3B">
        <w:t xml:space="preserve">Zadavatel stanovil </w:t>
      </w:r>
      <w:r w:rsidR="3D5812AA">
        <w:t>předběžnou</w:t>
      </w:r>
      <w:r w:rsidR="534966D7">
        <w:t xml:space="preserve"> </w:t>
      </w:r>
      <w:r w:rsidRPr="00433C3B">
        <w:t xml:space="preserve">hodnotu této veřejné zakázky </w:t>
      </w:r>
      <w:r w:rsidR="003477D5" w:rsidRPr="0074238A">
        <w:t xml:space="preserve">částkou </w:t>
      </w:r>
      <w:r w:rsidR="006F0F75" w:rsidRPr="0074238A">
        <w:rPr>
          <w:u w:val="single"/>
        </w:rPr>
        <w:t>ve výši</w:t>
      </w:r>
      <w:r w:rsidR="00654969" w:rsidRPr="0074238A">
        <w:rPr>
          <w:u w:val="single"/>
        </w:rPr>
        <w:t xml:space="preserve"> </w:t>
      </w:r>
      <w:r w:rsidR="3EFFFF97" w:rsidRPr="3398BBA1">
        <w:rPr>
          <w:u w:val="single"/>
        </w:rPr>
        <w:t>15</w:t>
      </w:r>
      <w:r w:rsidR="00141295" w:rsidRPr="793A7BA4">
        <w:rPr>
          <w:u w:val="single"/>
        </w:rPr>
        <w:t>0 000</w:t>
      </w:r>
      <w:r w:rsidRPr="793A7BA4">
        <w:rPr>
          <w:u w:val="single"/>
        </w:rPr>
        <w:t xml:space="preserve"> Kč</w:t>
      </w:r>
      <w:r w:rsidRPr="0074238A">
        <w:rPr>
          <w:u w:val="single"/>
        </w:rPr>
        <w:t xml:space="preserve"> bez</w:t>
      </w:r>
      <w:r w:rsidRPr="00C91E32">
        <w:rPr>
          <w:u w:val="single"/>
        </w:rPr>
        <w:t xml:space="preserve"> daně z</w:t>
      </w:r>
      <w:r w:rsidR="00C90B12" w:rsidRPr="00C91E32">
        <w:rPr>
          <w:u w:val="single"/>
        </w:rPr>
        <w:t> </w:t>
      </w:r>
      <w:r w:rsidRPr="00C91E32">
        <w:rPr>
          <w:u w:val="single"/>
        </w:rPr>
        <w:t>přidané</w:t>
      </w:r>
      <w:r w:rsidR="00C90B12" w:rsidRPr="00C91E32">
        <w:rPr>
          <w:u w:val="single"/>
        </w:rPr>
        <w:t xml:space="preserve"> </w:t>
      </w:r>
      <w:r w:rsidRPr="00C91E32">
        <w:rPr>
          <w:u w:val="single"/>
        </w:rPr>
        <w:t>hodnoty</w:t>
      </w:r>
      <w:r w:rsidRPr="00433C3B">
        <w:t>, přičemž tato hodnota zahrnuje hodnotu všech plnění požadovaných zadavatelem.</w:t>
      </w:r>
    </w:p>
    <w:p w14:paraId="1458B6F4" w14:textId="77777777" w:rsidR="00433C3B" w:rsidRDefault="00433C3B" w:rsidP="007C354A">
      <w:pPr>
        <w:jc w:val="both"/>
      </w:pPr>
    </w:p>
    <w:p w14:paraId="19FE0AD5" w14:textId="77777777" w:rsidR="005672E5" w:rsidRPr="00EE0EAA" w:rsidRDefault="005672E5" w:rsidP="005E32D4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pacing w:before="120"/>
        <w:ind w:hanging="720"/>
        <w:jc w:val="both"/>
        <w:rPr>
          <w:b/>
        </w:rPr>
      </w:pPr>
      <w:bookmarkStart w:id="0" w:name="_Hlk13655237"/>
      <w:r w:rsidRPr="00EE0EAA">
        <w:rPr>
          <w:b/>
        </w:rPr>
        <w:t>Obsah nabídky, způsob jejího podání a lhůta pro její podání</w:t>
      </w:r>
    </w:p>
    <w:bookmarkEnd w:id="0"/>
    <w:p w14:paraId="0915DC0C" w14:textId="7F8CC6E0" w:rsidR="005672E5" w:rsidRPr="00A25FD4" w:rsidRDefault="001F2155" w:rsidP="002C2262">
      <w:pPr>
        <w:spacing w:before="120" w:line="360" w:lineRule="auto"/>
        <w:jc w:val="both"/>
        <w:rPr>
          <w:b/>
        </w:rPr>
      </w:pPr>
      <w:r>
        <w:rPr>
          <w:b/>
        </w:rPr>
        <w:t>6</w:t>
      </w:r>
      <w:r w:rsidR="005672E5">
        <w:rPr>
          <w:b/>
        </w:rPr>
        <w:t>. 1</w:t>
      </w:r>
      <w:r w:rsidR="005672E5" w:rsidRPr="00A25FD4">
        <w:rPr>
          <w:b/>
        </w:rPr>
        <w:t>. Náležitosti nabíd</w:t>
      </w:r>
      <w:r w:rsidR="001E110F">
        <w:rPr>
          <w:b/>
        </w:rPr>
        <w:t>ky</w:t>
      </w:r>
    </w:p>
    <w:p w14:paraId="02678552" w14:textId="77777777" w:rsidR="005672E5" w:rsidRPr="00C551A7" w:rsidRDefault="005672E5" w:rsidP="005672E5">
      <w:pPr>
        <w:pStyle w:val="NoSpacing"/>
      </w:pPr>
      <w:r>
        <w:t>Nabídka musí být vypracována v českém jazyce a musí obsahovat:</w:t>
      </w:r>
    </w:p>
    <w:p w14:paraId="5F4753C1" w14:textId="4F033241" w:rsidR="00181923" w:rsidRPr="00C551A7" w:rsidRDefault="00181923" w:rsidP="004752C1">
      <w:pPr>
        <w:pStyle w:val="NoSpacing"/>
        <w:numPr>
          <w:ilvl w:val="0"/>
          <w:numId w:val="5"/>
        </w:numPr>
        <w:jc w:val="both"/>
        <w:rPr>
          <w:b/>
        </w:rPr>
      </w:pPr>
      <w:r w:rsidRPr="68FA4377">
        <w:rPr>
          <w:b/>
        </w:rPr>
        <w:t>Ideový koncept</w:t>
      </w:r>
      <w:r w:rsidR="009A5A9F" w:rsidRPr="68FA4377">
        <w:rPr>
          <w:b/>
        </w:rPr>
        <w:t xml:space="preserve"> </w:t>
      </w:r>
      <w:r w:rsidR="00041540">
        <w:t>ve formátu .</w:t>
      </w:r>
      <w:proofErr w:type="spellStart"/>
      <w:r w:rsidR="00041540">
        <w:t>pdf</w:t>
      </w:r>
      <w:proofErr w:type="spellEnd"/>
      <w:r w:rsidR="00041540">
        <w:t>, který bude obsahovat</w:t>
      </w:r>
      <w:r w:rsidR="00575C0C">
        <w:t xml:space="preserve"> </w:t>
      </w:r>
      <w:r w:rsidR="006557DA">
        <w:t>příkladov</w:t>
      </w:r>
      <w:r w:rsidR="00575C0C">
        <w:t>ý návrh loga</w:t>
      </w:r>
      <w:r w:rsidR="00887861">
        <w:t xml:space="preserve"> Metropolitních oblastí a aglomerací ČR a</w:t>
      </w:r>
      <w:r w:rsidR="004A7381">
        <w:t xml:space="preserve"> vysvětlení konceptu</w:t>
      </w:r>
      <w:r w:rsidR="00603E91">
        <w:t xml:space="preserve"> </w:t>
      </w:r>
      <w:r w:rsidR="00DB6A5D">
        <w:t>výběru daného loga. N</w:t>
      </w:r>
      <w:r w:rsidR="004A7381">
        <w:t>ávrh bude zároveň</w:t>
      </w:r>
      <w:r w:rsidR="00DB6A5D">
        <w:t xml:space="preserve"> obsahovat</w:t>
      </w:r>
      <w:r w:rsidR="004A7381">
        <w:t xml:space="preserve"> návrhy použití loga </w:t>
      </w:r>
      <w:r w:rsidR="00CD604A">
        <w:t>(prezentace, příspěvek na soc sítě)</w:t>
      </w:r>
      <w:r w:rsidR="0060417D">
        <w:t>.</w:t>
      </w:r>
      <w:r w:rsidR="00EF1A05">
        <w:t xml:space="preserve"> </w:t>
      </w:r>
    </w:p>
    <w:p w14:paraId="5872474C" w14:textId="5C4AD22D" w:rsidR="005672E5" w:rsidRPr="00F40C27" w:rsidRDefault="00F40B85" w:rsidP="005E32D4">
      <w:pPr>
        <w:numPr>
          <w:ilvl w:val="0"/>
          <w:numId w:val="5"/>
        </w:numPr>
        <w:jc w:val="both"/>
      </w:pPr>
      <w:r w:rsidRPr="7DD0C963">
        <w:t>vyplněný </w:t>
      </w:r>
      <w:r w:rsidRPr="7DD0C963">
        <w:rPr>
          <w:b/>
          <w:bCs/>
        </w:rPr>
        <w:t>Krycí list nabídky</w:t>
      </w:r>
      <w:r w:rsidRPr="7DD0C963">
        <w:t xml:space="preserve">, který </w:t>
      </w:r>
      <w:r w:rsidRPr="00AC271C">
        <w:t xml:space="preserve">tvoří přílohu č. </w:t>
      </w:r>
      <w:r w:rsidR="00F70979" w:rsidRPr="00AC271C">
        <w:t>2</w:t>
      </w:r>
      <w:r w:rsidRPr="00AC271C">
        <w:t xml:space="preserve"> těchto</w:t>
      </w:r>
      <w:r w:rsidRPr="7DD0C963">
        <w:t xml:space="preserve"> za</w:t>
      </w:r>
      <w:r>
        <w:t xml:space="preserve">dávacích podmínek, a to zejména </w:t>
      </w:r>
      <w:r w:rsidRPr="7DD0C963">
        <w:t xml:space="preserve">základní identifikační údaje dodavatele, tj. obchodní firma/název/jméno, sídlo/místo podnikání/bydliště, právní forma, obchodní rejstřík/živnostenský rejstřík/jiná evidence (zde zadavatel upozorňuje, že </w:t>
      </w:r>
      <w:r w:rsidR="5158F048">
        <w:t>dodavatel</w:t>
      </w:r>
      <w:r w:rsidRPr="7DD0C963">
        <w:t xml:space="preserve"> zde musí </w:t>
      </w:r>
      <w:r w:rsidRPr="7DD0C963">
        <w:rPr>
          <w:b/>
          <w:bCs/>
        </w:rPr>
        <w:t>vyplnit </w:t>
      </w:r>
      <w:r>
        <w:br/>
      </w:r>
      <w:r w:rsidRPr="7DD0C963">
        <w:rPr>
          <w:b/>
          <w:bCs/>
        </w:rPr>
        <w:t>i hypertextový odkaz</w:t>
      </w:r>
      <w:r w:rsidRPr="7DD0C963">
        <w:t> na veřejnou část dané</w:t>
      </w:r>
      <w:r>
        <w:t xml:space="preserve"> evidence</w:t>
      </w:r>
      <w:r w:rsidR="001F2155">
        <w:t xml:space="preserve"> v souladu s bodem 4. 2. těchto zadávacích podmínek</w:t>
      </w:r>
      <w:r w:rsidRPr="7DD0C963">
        <w:t>, identifikační číslo, daňové identifikační číslo, jméno, příjmení a funkce osoby oprávněné jednat jménem dodavatele, telefon, e-mail atd</w:t>
      </w:r>
      <w:r>
        <w:t>)</w:t>
      </w:r>
      <w:r w:rsidRPr="7DD0C963">
        <w:t>. V případě společného týmu nebo konsorcia několika dodavatelů musí být uvedena pouze 1 právnická osoba, která bude ve smluvním vztahu s objednatelem, a která bude zastupovat ostatní členy týmu nebo subjekty sdružené v konsorciu v jednání o záležitostech týkajících se realizace této veřejné zakázky</w:t>
      </w:r>
      <w:r w:rsidR="00DC611B">
        <w:t>,</w:t>
      </w:r>
      <w:r w:rsidR="005672E5">
        <w:t xml:space="preserve"> </w:t>
      </w:r>
      <w:r w:rsidR="005672E5" w:rsidRPr="00F40C27">
        <w:t xml:space="preserve"> </w:t>
      </w:r>
    </w:p>
    <w:p w14:paraId="33260468" w14:textId="77777777" w:rsidR="00F40B85" w:rsidRPr="00D229B9" w:rsidRDefault="00F40B85" w:rsidP="005E32D4">
      <w:pPr>
        <w:numPr>
          <w:ilvl w:val="0"/>
          <w:numId w:val="5"/>
        </w:numPr>
        <w:jc w:val="both"/>
      </w:pPr>
      <w:r w:rsidRPr="00F40B85">
        <w:t>čestné prohlášení dle bodu 4. 1. těchto zadávacích podmínek,</w:t>
      </w:r>
    </w:p>
    <w:p w14:paraId="6D460322" w14:textId="026BD7E4" w:rsidR="005672E5" w:rsidRDefault="00F40B85" w:rsidP="005E32D4">
      <w:pPr>
        <w:numPr>
          <w:ilvl w:val="0"/>
          <w:numId w:val="5"/>
        </w:numPr>
        <w:jc w:val="both"/>
      </w:pPr>
      <w:r w:rsidRPr="00F40B85">
        <w:t>prostá kopie (</w:t>
      </w:r>
      <w:proofErr w:type="spellStart"/>
      <w:r w:rsidRPr="00F40B85">
        <w:t>scan</w:t>
      </w:r>
      <w:proofErr w:type="spellEnd"/>
      <w:r w:rsidRPr="00F40B85">
        <w:t xml:space="preserve">) </w:t>
      </w:r>
      <w:r w:rsidR="005672E5" w:rsidRPr="00700332">
        <w:t>doklad</w:t>
      </w:r>
      <w:r>
        <w:t>u</w:t>
      </w:r>
      <w:r w:rsidR="005672E5" w:rsidRPr="00700332">
        <w:t xml:space="preserve"> o oprávnění osoby jednat za </w:t>
      </w:r>
      <w:r w:rsidR="23D1F4A6">
        <w:t>dodavatele</w:t>
      </w:r>
      <w:r w:rsidR="005672E5" w:rsidRPr="00700332">
        <w:t xml:space="preserve"> – např. plná moc, </w:t>
      </w:r>
      <w:r w:rsidR="00464F47" w:rsidRPr="00700332">
        <w:t>pověření</w:t>
      </w:r>
      <w:r w:rsidR="005672E5" w:rsidRPr="00700332">
        <w:t xml:space="preserve"> apod. (</w:t>
      </w:r>
      <w:proofErr w:type="spellStart"/>
      <w:r w:rsidR="005672E5" w:rsidRPr="00700332">
        <w:t>scan</w:t>
      </w:r>
      <w:proofErr w:type="spellEnd"/>
      <w:r w:rsidR="005672E5" w:rsidRPr="00700332">
        <w:t xml:space="preserve"> prosté kopie</w:t>
      </w:r>
      <w:r w:rsidR="005672E5">
        <w:t>)</w:t>
      </w:r>
      <w:r w:rsidR="005672E5" w:rsidRPr="00700332">
        <w:t xml:space="preserve">. Předkládá se jen, pokud se nejedná o statutární orgán </w:t>
      </w:r>
      <w:r w:rsidR="64226ED6">
        <w:t>dodavatele</w:t>
      </w:r>
      <w:r w:rsidR="005672E5" w:rsidRPr="00700332">
        <w:t>, jehož oprávnění k jednání vyplývá z obchod</w:t>
      </w:r>
      <w:r w:rsidR="005672E5">
        <w:t>ního rejstříku či jiné evidence.</w:t>
      </w:r>
    </w:p>
    <w:p w14:paraId="0C71D12C" w14:textId="77777777" w:rsidR="005672E5" w:rsidRPr="00092B91" w:rsidRDefault="005672E5" w:rsidP="002C2262">
      <w:pPr>
        <w:spacing w:before="120" w:line="360" w:lineRule="auto"/>
        <w:jc w:val="both"/>
        <w:rPr>
          <w:b/>
        </w:rPr>
      </w:pPr>
      <w:r w:rsidRPr="00092B91">
        <w:rPr>
          <w:b/>
        </w:rPr>
        <w:t>6. 2. Způsob a lhůta pro podání nabídek</w:t>
      </w:r>
    </w:p>
    <w:p w14:paraId="7B3960B4" w14:textId="65B41C4C" w:rsidR="00E65F8D" w:rsidRPr="00EB4F02" w:rsidRDefault="00E65F8D" w:rsidP="00E65F8D">
      <w:pPr>
        <w:pStyle w:val="NoSpacing"/>
        <w:jc w:val="both"/>
      </w:pPr>
      <w:r w:rsidRPr="00EB4F02">
        <w:t xml:space="preserve">Úplná nabídka </w:t>
      </w:r>
      <w:r w:rsidR="7A27E3EC">
        <w:t>dodavatel</w:t>
      </w:r>
      <w:r>
        <w:t>e</w:t>
      </w:r>
      <w:r w:rsidRPr="00EB4F02">
        <w:t xml:space="preserve"> může být podána pouze elektronicky prostřednictvím elektronického nástroje E-ZAK (profil zadavatele je dostupný na webové adrese </w:t>
      </w:r>
      <w:hyperlink r:id="rId12">
        <w:r w:rsidRPr="2AF4D540">
          <w:rPr>
            <w:rStyle w:val="Hyperlink"/>
          </w:rPr>
          <w:t>https://ezak.brno.cz/</w:t>
        </w:r>
      </w:hyperlink>
      <w:r w:rsidRPr="00EB4F02">
        <w:t>).</w:t>
      </w:r>
      <w:r w:rsidR="00A613C2">
        <w:t xml:space="preserve"> </w:t>
      </w:r>
      <w:r w:rsidRPr="00EB4F02">
        <w:t>Veškeré podmínky a informace týkající se elektronického nástroje jsou dostupné na webové adrese</w:t>
      </w:r>
      <w:r w:rsidR="003916F2">
        <w:t xml:space="preserve"> </w:t>
      </w:r>
      <w:hyperlink r:id="rId13" w:history="1">
        <w:r w:rsidR="003916F2" w:rsidRPr="00330168">
          <w:rPr>
            <w:rStyle w:val="Hyperlink"/>
          </w:rPr>
          <w:t>https://ezak.brno.cz/manual.html</w:t>
        </w:r>
      </w:hyperlink>
      <w:r>
        <w:t xml:space="preserve">. </w:t>
      </w:r>
      <w:r w:rsidRPr="00EB4F02">
        <w:t xml:space="preserve">Pro odpovědi na případné otázky týkající se uživatelského ovládání elektronického nástroje E-ZAK je možné využít uživatelskou podporu (tel: +420 538 702 719, email: </w:t>
      </w:r>
      <w:hyperlink r:id="rId14" w:history="1">
        <w:r w:rsidRPr="00EB4F02">
          <w:rPr>
            <w:rStyle w:val="Hyperlink"/>
          </w:rPr>
          <w:t>podpora@ezak.cz</w:t>
        </w:r>
      </w:hyperlink>
      <w:r w:rsidRPr="00EB4F02">
        <w:t xml:space="preserve">). </w:t>
      </w:r>
    </w:p>
    <w:p w14:paraId="633FDA0A" w14:textId="77777777" w:rsidR="00197A20" w:rsidRDefault="00197A20" w:rsidP="00E65F8D">
      <w:pPr>
        <w:pStyle w:val="NoSpacing"/>
        <w:jc w:val="both"/>
        <w:rPr>
          <w:b/>
          <w:bCs/>
        </w:rPr>
      </w:pPr>
    </w:p>
    <w:p w14:paraId="32E8B8B8" w14:textId="33B56C1B" w:rsidR="00447A1E" w:rsidRPr="00CD604A" w:rsidRDefault="00E65F8D" w:rsidP="00CD604A">
      <w:pPr>
        <w:pStyle w:val="NoSpacing"/>
        <w:jc w:val="both"/>
        <w:rPr>
          <w:b/>
          <w:bCs/>
        </w:rPr>
      </w:pPr>
      <w:r w:rsidRPr="00D237C9">
        <w:rPr>
          <w:b/>
          <w:bCs/>
        </w:rPr>
        <w:t>Lhůta pro podání nabídek</w:t>
      </w:r>
      <w:r w:rsidRPr="00D237C9">
        <w:t xml:space="preserve"> začíná běžet zveřejněním t</w:t>
      </w:r>
      <w:r w:rsidR="003916F2">
        <w:t>éto zadávací dokumentace</w:t>
      </w:r>
      <w:r w:rsidRPr="00D237C9">
        <w:t xml:space="preserve"> a </w:t>
      </w:r>
      <w:proofErr w:type="gramStart"/>
      <w:r w:rsidRPr="00D237C9">
        <w:t>končí</w:t>
      </w:r>
      <w:proofErr w:type="gramEnd"/>
      <w:r w:rsidRPr="00D237C9">
        <w:t xml:space="preserve"> dne</w:t>
      </w:r>
      <w:r w:rsidRPr="00D237C9">
        <w:rPr>
          <w:b/>
          <w:bCs/>
        </w:rPr>
        <w:t xml:space="preserve"> </w:t>
      </w:r>
      <w:r w:rsidR="3C5245D7" w:rsidRPr="58D83AAF">
        <w:rPr>
          <w:b/>
          <w:bCs/>
        </w:rPr>
        <w:t>19</w:t>
      </w:r>
      <w:r w:rsidR="00B300DE" w:rsidRPr="00D237C9">
        <w:rPr>
          <w:b/>
          <w:bCs/>
        </w:rPr>
        <w:t>.</w:t>
      </w:r>
      <w:r w:rsidR="00A93F0A">
        <w:rPr>
          <w:b/>
          <w:bCs/>
        </w:rPr>
        <w:t xml:space="preserve"> 5</w:t>
      </w:r>
      <w:r w:rsidR="00B300DE" w:rsidRPr="00D237C9">
        <w:rPr>
          <w:b/>
          <w:bCs/>
        </w:rPr>
        <w:t>.</w:t>
      </w:r>
      <w:r w:rsidR="00A93F0A">
        <w:rPr>
          <w:b/>
          <w:bCs/>
        </w:rPr>
        <w:t xml:space="preserve"> </w:t>
      </w:r>
      <w:r w:rsidR="003916F2">
        <w:rPr>
          <w:b/>
          <w:bCs/>
        </w:rPr>
        <w:t>202</w:t>
      </w:r>
      <w:r w:rsidR="00A93F0A">
        <w:rPr>
          <w:b/>
          <w:bCs/>
        </w:rPr>
        <w:t>5</w:t>
      </w:r>
      <w:r w:rsidR="003916F2">
        <w:rPr>
          <w:b/>
          <w:bCs/>
        </w:rPr>
        <w:t xml:space="preserve"> ve</w:t>
      </w:r>
      <w:r w:rsidR="00B300DE" w:rsidRPr="00D237C9">
        <w:rPr>
          <w:b/>
          <w:bCs/>
        </w:rPr>
        <w:t xml:space="preserve"> 12</w:t>
      </w:r>
      <w:r w:rsidR="004637B1" w:rsidRPr="00D237C9">
        <w:rPr>
          <w:b/>
          <w:bCs/>
        </w:rPr>
        <w:t>:00</w:t>
      </w:r>
      <w:r w:rsidRPr="00D237C9">
        <w:rPr>
          <w:b/>
          <w:bCs/>
        </w:rPr>
        <w:t xml:space="preserve"> hod.</w:t>
      </w:r>
      <w:r w:rsidRPr="00A77745">
        <w:rPr>
          <w:b/>
          <w:bCs/>
        </w:rPr>
        <w:t xml:space="preserve">  </w:t>
      </w:r>
    </w:p>
    <w:p w14:paraId="22C386AE" w14:textId="25034150" w:rsidR="005672E5" w:rsidRPr="00A77745" w:rsidRDefault="005672E5" w:rsidP="002C2262">
      <w:pPr>
        <w:spacing w:before="120" w:line="360" w:lineRule="auto"/>
        <w:jc w:val="both"/>
        <w:rPr>
          <w:b/>
        </w:rPr>
      </w:pPr>
      <w:r w:rsidRPr="00A77745">
        <w:rPr>
          <w:b/>
        </w:rPr>
        <w:t xml:space="preserve">6. 3. Lhůta, po kterou jsou </w:t>
      </w:r>
      <w:r w:rsidR="17099440" w:rsidRPr="2B0B9ABE">
        <w:rPr>
          <w:b/>
          <w:bCs/>
        </w:rPr>
        <w:t>dodavatelé</w:t>
      </w:r>
      <w:r w:rsidRPr="00A77745">
        <w:rPr>
          <w:b/>
        </w:rPr>
        <w:t xml:space="preserve"> vázáni nabídkami</w:t>
      </w:r>
    </w:p>
    <w:p w14:paraId="42127835" w14:textId="4B1D9C65" w:rsidR="001E400F" w:rsidRPr="00A77745" w:rsidRDefault="3DA40ACE" w:rsidP="004373E7">
      <w:pPr>
        <w:numPr>
          <w:ilvl w:val="2"/>
          <w:numId w:val="1"/>
        </w:numPr>
        <w:tabs>
          <w:tab w:val="clear" w:pos="1259"/>
          <w:tab w:val="num" w:pos="851"/>
        </w:tabs>
        <w:ind w:left="851" w:hanging="425"/>
        <w:jc w:val="both"/>
      </w:pPr>
      <w:r>
        <w:t>Dodavatelé</w:t>
      </w:r>
      <w:r w:rsidR="001E400F" w:rsidRPr="00A77745">
        <w:t xml:space="preserve"> jsou svými nabídkami vázáni po dobu 60 dnů; tato lhůta začne běžet dnem následujícím po skončení lhůty pro podání nabídek.</w:t>
      </w:r>
    </w:p>
    <w:p w14:paraId="599A6F88" w14:textId="30603222" w:rsidR="001E400F" w:rsidRPr="00700332" w:rsidRDefault="43C9EC51" w:rsidP="004373E7">
      <w:pPr>
        <w:numPr>
          <w:ilvl w:val="2"/>
          <w:numId w:val="1"/>
        </w:numPr>
        <w:tabs>
          <w:tab w:val="clear" w:pos="1259"/>
          <w:tab w:val="num" w:pos="851"/>
        </w:tabs>
        <w:ind w:left="851" w:hanging="425"/>
        <w:jc w:val="both"/>
      </w:pPr>
      <w:r>
        <w:t>Dodavatel</w:t>
      </w:r>
      <w:r w:rsidR="001E400F" w:rsidRPr="00A77745">
        <w:t>, jehož nabídka bude</w:t>
      </w:r>
      <w:r w:rsidR="001E400F" w:rsidRPr="00700332">
        <w:t xml:space="preserve"> vybrána jako nejvhodnější, se lhůta, po kterou je svou nabídkou vázán, prodlužuje do uzavření smlouvy, nejvíce však o 30 dnů.</w:t>
      </w:r>
    </w:p>
    <w:p w14:paraId="14B58BED" w14:textId="77777777" w:rsidR="001E400F" w:rsidRDefault="001E400F" w:rsidP="006E3D7D">
      <w:pPr>
        <w:rPr>
          <w:b/>
        </w:rPr>
      </w:pPr>
    </w:p>
    <w:p w14:paraId="13C5BC92" w14:textId="77777777" w:rsidR="005672E5" w:rsidRPr="0066163E" w:rsidRDefault="005672E5" w:rsidP="005E32D4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contextualSpacing w:val="0"/>
        <w:jc w:val="both"/>
        <w:textAlignment w:val="baseline"/>
        <w:rPr>
          <w:b/>
        </w:rPr>
      </w:pPr>
      <w:r>
        <w:rPr>
          <w:b/>
        </w:rPr>
        <w:t>Obchodní podmínky</w:t>
      </w:r>
    </w:p>
    <w:p w14:paraId="23DFECBB" w14:textId="56A4DB2B" w:rsidR="005672E5" w:rsidRDefault="005672E5" w:rsidP="005672E5">
      <w:pPr>
        <w:spacing w:before="120"/>
        <w:jc w:val="both"/>
      </w:pPr>
      <w:r w:rsidRPr="00A25FD4">
        <w:t xml:space="preserve">Zadavatel stanovil obchodní podmínky pro realizaci veřejné zakázky formou vzoru smlouvy, </w:t>
      </w:r>
      <w:r w:rsidRPr="00AC271C">
        <w:t xml:space="preserve">který </w:t>
      </w:r>
      <w:proofErr w:type="gramStart"/>
      <w:r w:rsidRPr="00AC271C">
        <w:t>tvoří</w:t>
      </w:r>
      <w:proofErr w:type="gramEnd"/>
      <w:r w:rsidRPr="00AC271C">
        <w:t xml:space="preserve"> přílohu č. </w:t>
      </w:r>
      <w:r w:rsidR="00573C35" w:rsidRPr="00AC271C">
        <w:t>3</w:t>
      </w:r>
      <w:r w:rsidRPr="00AC271C">
        <w:t xml:space="preserve"> těchto</w:t>
      </w:r>
      <w:r w:rsidRPr="00A25FD4">
        <w:t xml:space="preserve"> zadávacích podmínek. Obchodní podmínky nemůže </w:t>
      </w:r>
      <w:r w:rsidR="2EDB2BC5">
        <w:t>dodavatel</w:t>
      </w:r>
      <w:r w:rsidR="006C1C37">
        <w:t xml:space="preserve"> </w:t>
      </w:r>
      <w:r w:rsidRPr="00A25FD4">
        <w:t>měnit; doplnit je může pouze, pokud to z obchodních podmínek nebo jiné části zadávací dokumentace vyplývá. Dodavatel</w:t>
      </w:r>
      <w:r>
        <w:t xml:space="preserve">, jehož nabídka bude posouzena </w:t>
      </w:r>
      <w:r w:rsidRPr="00C91E32">
        <w:t>jako</w:t>
      </w:r>
      <w:r w:rsidR="00A15C8D" w:rsidRPr="00C91E32">
        <w:t xml:space="preserve"> nejvhodnější dle hodnotíc</w:t>
      </w:r>
      <w:r w:rsidR="00870F08" w:rsidRPr="00C91E32">
        <w:t>ích kritérií</w:t>
      </w:r>
      <w:r w:rsidRPr="00C91E32">
        <w:t xml:space="preserve"> dle bodu 8.</w:t>
      </w:r>
      <w:r w:rsidRPr="005672E5">
        <w:t xml:space="preserve"> </w:t>
      </w:r>
      <w:r w:rsidR="3A65A2D8" w:rsidRPr="2B0B9ABE">
        <w:t xml:space="preserve">této zadávací dokumentace, bude neprodleně po svém výběru vyzván k předložení </w:t>
      </w:r>
      <w:r w:rsidR="3A65A2D8" w:rsidRPr="2B0B9ABE">
        <w:rPr>
          <w:b/>
          <w:bCs/>
        </w:rPr>
        <w:t>tří</w:t>
      </w:r>
      <w:r w:rsidR="3A65A2D8" w:rsidRPr="2B0B9ABE">
        <w:t xml:space="preserve"> </w:t>
      </w:r>
      <w:r w:rsidR="3A65A2D8" w:rsidRPr="2B0B9ABE">
        <w:rPr>
          <w:b/>
          <w:bCs/>
        </w:rPr>
        <w:t>vyhotovení</w:t>
      </w:r>
      <w:r w:rsidR="3A65A2D8" w:rsidRPr="2B0B9ABE">
        <w:t xml:space="preserve"> doplněných o příslušné k tomu určené části a následně podepsaných k tomu oprávněnou osobou. Obchodní podmínky nemůže vybraný dodavatel měnit; doplnit je může pouze, pokud to z obchodních podmínek nebo jiné části zadávací dokumentace vyplývá.</w:t>
      </w:r>
    </w:p>
    <w:p w14:paraId="4A8797B1" w14:textId="3E00FA3D" w:rsidR="00573C35" w:rsidRPr="00A25FD4" w:rsidRDefault="00573C35"/>
    <w:p w14:paraId="16AEB4B2" w14:textId="77777777" w:rsidR="005672E5" w:rsidRPr="0066163E" w:rsidRDefault="005672E5" w:rsidP="005E32D4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contextualSpacing w:val="0"/>
        <w:jc w:val="both"/>
        <w:textAlignment w:val="baseline"/>
        <w:rPr>
          <w:b/>
        </w:rPr>
      </w:pPr>
      <w:r w:rsidRPr="0066163E">
        <w:rPr>
          <w:b/>
        </w:rPr>
        <w:t>Způsob hodnocení nabídek</w:t>
      </w:r>
    </w:p>
    <w:p w14:paraId="51A3B49A" w14:textId="77777777" w:rsidR="00447A1E" w:rsidRDefault="00447A1E" w:rsidP="001520DB">
      <w:pPr>
        <w:pStyle w:val="NoSpacing"/>
      </w:pPr>
    </w:p>
    <w:p w14:paraId="7362B192" w14:textId="408F39A8" w:rsidR="001520DB" w:rsidRPr="00045FE8" w:rsidRDefault="001520DB" w:rsidP="001520DB">
      <w:pPr>
        <w:pStyle w:val="NoSpacing"/>
      </w:pPr>
      <w:r w:rsidRPr="0E8A4DDC">
        <w:t>Nabídky budou komisí hodnoceny dle následujících kritérií:</w:t>
      </w:r>
    </w:p>
    <w:p w14:paraId="2C431704" w14:textId="77777777" w:rsidR="001520DB" w:rsidRPr="00045FE8" w:rsidRDefault="001520DB" w:rsidP="001520DB">
      <w:pPr>
        <w:jc w:val="both"/>
        <w:rPr>
          <w:u w:val="single"/>
        </w:rPr>
      </w:pPr>
    </w:p>
    <w:p w14:paraId="24D6BA5D" w14:textId="40D918E3" w:rsidR="001520DB" w:rsidRPr="002A4F39" w:rsidRDefault="001520DB" w:rsidP="00C91601">
      <w:pPr>
        <w:numPr>
          <w:ilvl w:val="0"/>
          <w:numId w:val="20"/>
        </w:numPr>
        <w:jc w:val="both"/>
        <w:rPr>
          <w:color w:val="000000" w:themeColor="text1"/>
        </w:rPr>
      </w:pPr>
      <w:r w:rsidRPr="00045FE8">
        <w:rPr>
          <w:b/>
        </w:rPr>
        <w:t xml:space="preserve">Nabídková cena </w:t>
      </w:r>
      <w:r w:rsidR="79D150B6" w:rsidRPr="2B0B9ABE">
        <w:rPr>
          <w:b/>
          <w:bCs/>
        </w:rPr>
        <w:t xml:space="preserve">za dílo </w:t>
      </w:r>
      <w:r w:rsidRPr="00045FE8">
        <w:rPr>
          <w:b/>
        </w:rPr>
        <w:t xml:space="preserve">bez DPH: </w:t>
      </w:r>
      <w:r w:rsidR="5923C34F" w:rsidRPr="2B0B9ABE">
        <w:rPr>
          <w:b/>
          <w:bCs/>
        </w:rPr>
        <w:t>5</w:t>
      </w:r>
      <w:r w:rsidRPr="2B0B9ABE">
        <w:rPr>
          <w:b/>
          <w:bCs/>
        </w:rPr>
        <w:t>0</w:t>
      </w:r>
      <w:r w:rsidRPr="00045FE8">
        <w:rPr>
          <w:b/>
        </w:rPr>
        <w:t xml:space="preserve"> %</w:t>
      </w:r>
      <w:r w:rsidRPr="00045FE8">
        <w:t xml:space="preserve"> (max. počet bodů </w:t>
      </w:r>
      <w:r w:rsidR="7E22B5EA">
        <w:t>5</w:t>
      </w:r>
      <w:r>
        <w:t>0</w:t>
      </w:r>
      <w:r w:rsidRPr="00045FE8">
        <w:t>)</w:t>
      </w:r>
    </w:p>
    <w:p w14:paraId="5CB84751" w14:textId="77777777" w:rsidR="001520DB" w:rsidRDefault="001520DB" w:rsidP="001520DB">
      <w:pPr>
        <w:ind w:left="360"/>
        <w:jc w:val="both"/>
        <w:rPr>
          <w:b/>
        </w:rPr>
      </w:pPr>
    </w:p>
    <w:p w14:paraId="2494DDD9" w14:textId="77777777" w:rsidR="001520DB" w:rsidRDefault="001520DB" w:rsidP="001520DB">
      <w:pPr>
        <w:jc w:val="both"/>
      </w:pPr>
      <w:r w:rsidRPr="795D5CF6">
        <w:t xml:space="preserve">V případě dílčího hodnotícího </w:t>
      </w:r>
      <w:r w:rsidRPr="795D5CF6">
        <w:rPr>
          <w:b/>
          <w:bCs/>
        </w:rPr>
        <w:t xml:space="preserve">kritéria </w:t>
      </w:r>
      <w:r>
        <w:rPr>
          <w:b/>
          <w:bCs/>
        </w:rPr>
        <w:t>A</w:t>
      </w:r>
      <w:r w:rsidRPr="795D5CF6">
        <w:rPr>
          <w:b/>
          <w:bCs/>
        </w:rPr>
        <w:t>)</w:t>
      </w:r>
      <w:r w:rsidRPr="795D5CF6">
        <w:t xml:space="preserve"> bude bodové hodnocení stanoveno dle následujícího vzorce.</w:t>
      </w:r>
    </w:p>
    <w:p w14:paraId="7E0F8520" w14:textId="7E38F2B6" w:rsidR="001520DB" w:rsidRDefault="001520DB" w:rsidP="001520DB">
      <w:pPr>
        <w:tabs>
          <w:tab w:val="left" w:pos="0"/>
          <w:tab w:val="left" w:pos="644"/>
        </w:tabs>
        <w:spacing w:before="120"/>
        <w:jc w:val="both"/>
        <w:rPr>
          <w:color w:val="000000"/>
        </w:rPr>
      </w:pPr>
      <w:bookmarkStart w:id="1" w:name="_Hlk26520644"/>
      <m:oMathPara>
        <m:oMath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Počet bodů = </m:t>
          </m:r>
          <m:f>
            <m:fPr>
              <m:ctrlPr>
                <w:rPr>
                  <w:rFonts w:ascii="Cambria Math" w:eastAsia="Calibri" w:hAnsi="Cambria Math"/>
                  <w:bCs/>
                  <w:color w:val="000000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nabídka s nejnižší nabídnoutou částkou za služby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hodnocená nabídka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 x 50</m:t>
          </m:r>
        </m:oMath>
      </m:oMathPara>
    </w:p>
    <w:bookmarkEnd w:id="1"/>
    <w:p w14:paraId="34731EC7" w14:textId="77777777" w:rsidR="001520DB" w:rsidRPr="00045FE8" w:rsidRDefault="001520DB" w:rsidP="001520DB">
      <w:pPr>
        <w:ind w:left="360"/>
        <w:jc w:val="both"/>
        <w:rPr>
          <w:color w:val="000000" w:themeColor="text1"/>
        </w:rPr>
      </w:pPr>
    </w:p>
    <w:p w14:paraId="3F707F66" w14:textId="77777777" w:rsidR="001520DB" w:rsidRPr="00045FE8" w:rsidRDefault="001520DB" w:rsidP="001520DB">
      <w:pPr>
        <w:jc w:val="both"/>
      </w:pPr>
    </w:p>
    <w:p w14:paraId="59D4545B" w14:textId="63BDDACE" w:rsidR="001520DB" w:rsidRPr="00045FE8" w:rsidRDefault="001520DB" w:rsidP="00C91601">
      <w:pPr>
        <w:numPr>
          <w:ilvl w:val="0"/>
          <w:numId w:val="20"/>
        </w:numPr>
        <w:jc w:val="both"/>
        <w:rPr>
          <w:color w:val="000000" w:themeColor="text1"/>
        </w:rPr>
      </w:pPr>
      <w:r w:rsidRPr="00045FE8">
        <w:rPr>
          <w:b/>
        </w:rPr>
        <w:t>Kvalita ideového konceptu</w:t>
      </w:r>
      <w:r w:rsidR="00446736">
        <w:rPr>
          <w:b/>
        </w:rPr>
        <w:t>:</w:t>
      </w:r>
      <w:r w:rsidRPr="00045FE8">
        <w:rPr>
          <w:b/>
        </w:rPr>
        <w:t xml:space="preserve"> </w:t>
      </w:r>
      <w:r w:rsidR="00446736">
        <w:rPr>
          <w:b/>
        </w:rPr>
        <w:t>5</w:t>
      </w:r>
      <w:r>
        <w:rPr>
          <w:b/>
        </w:rPr>
        <w:t>0</w:t>
      </w:r>
      <w:r w:rsidRPr="00045FE8">
        <w:rPr>
          <w:b/>
        </w:rPr>
        <w:t xml:space="preserve"> %</w:t>
      </w:r>
      <w:r w:rsidRPr="00045FE8">
        <w:t xml:space="preserve"> (max. počet bodů </w:t>
      </w:r>
      <w:r w:rsidR="00A0038E">
        <w:t>5</w:t>
      </w:r>
      <w:r>
        <w:t>0</w:t>
      </w:r>
      <w:r w:rsidRPr="00045FE8">
        <w:t xml:space="preserve">) </w:t>
      </w:r>
    </w:p>
    <w:p w14:paraId="41B4FAE7" w14:textId="77777777" w:rsidR="001520DB" w:rsidRPr="00045FE8" w:rsidRDefault="001520DB" w:rsidP="001520DB">
      <w:pPr>
        <w:jc w:val="both"/>
        <w:rPr>
          <w:i/>
          <w:iCs/>
        </w:rPr>
      </w:pPr>
    </w:p>
    <w:p w14:paraId="4234F835" w14:textId="39915676" w:rsidR="001520DB" w:rsidRDefault="001520DB" w:rsidP="000D1911">
      <w:pPr>
        <w:jc w:val="both"/>
        <w:rPr>
          <w:bCs/>
        </w:rPr>
      </w:pPr>
      <w:r w:rsidRPr="00885A76">
        <w:rPr>
          <w:bCs/>
        </w:rPr>
        <w:t>V rámci dílčího hodnotícího</w:t>
      </w:r>
      <w:r w:rsidRPr="00045FE8">
        <w:rPr>
          <w:b/>
          <w:bCs/>
        </w:rPr>
        <w:t xml:space="preserve"> kritéria B) </w:t>
      </w:r>
      <w:r>
        <w:rPr>
          <w:bCs/>
        </w:rPr>
        <w:t>bude hodnocena kreativita, originalita, ale především vhodnost a aplikovatelnost pro všechny účely, ke kterým má daný koncept sloužit.</w:t>
      </w:r>
    </w:p>
    <w:p w14:paraId="17AEB699" w14:textId="77777777" w:rsidR="000D1911" w:rsidRDefault="000D1911" w:rsidP="000D1911">
      <w:pPr>
        <w:jc w:val="both"/>
        <w:rPr>
          <w:bCs/>
        </w:rPr>
      </w:pPr>
    </w:p>
    <w:p w14:paraId="0522DFE0" w14:textId="77777777" w:rsidR="001520DB" w:rsidRDefault="001520DB" w:rsidP="001520DB">
      <w:pPr>
        <w:jc w:val="both"/>
        <w:rPr>
          <w:bCs/>
        </w:rPr>
      </w:pPr>
      <w:r>
        <w:rPr>
          <w:bCs/>
        </w:rPr>
        <w:t>Bodová škála:</w:t>
      </w:r>
    </w:p>
    <w:tbl>
      <w:tblPr>
        <w:tblW w:w="8680" w:type="dxa"/>
        <w:tblInd w:w="567" w:type="dxa"/>
        <w:tblLook w:val="04A0" w:firstRow="1" w:lastRow="0" w:firstColumn="1" w:lastColumn="0" w:noHBand="0" w:noVBand="1"/>
      </w:tblPr>
      <w:tblGrid>
        <w:gridCol w:w="1120"/>
        <w:gridCol w:w="7560"/>
      </w:tblGrid>
      <w:tr w:rsidR="001520DB" w:rsidRPr="008A1410" w14:paraId="703CF259" w14:textId="77777777" w:rsidTr="006D2EA0">
        <w:tc>
          <w:tcPr>
            <w:tcW w:w="1120" w:type="dxa"/>
            <w:shd w:val="clear" w:color="auto" w:fill="auto"/>
          </w:tcPr>
          <w:p w14:paraId="25F346F4" w14:textId="087D057D" w:rsidR="001520DB" w:rsidRPr="00045FE8" w:rsidRDefault="2863BC26" w:rsidP="006D2EA0">
            <w:pPr>
              <w:jc w:val="both"/>
            </w:pPr>
            <w:proofErr w:type="gramStart"/>
            <w:r>
              <w:t>5</w:t>
            </w:r>
            <w:r w:rsidR="001520DB">
              <w:t>0</w:t>
            </w:r>
            <w:r w:rsidR="001520DB" w:rsidRPr="00045FE8">
              <w:t xml:space="preserve"> – </w:t>
            </w:r>
            <w:r w:rsidR="37A2D639">
              <w:t>4</w:t>
            </w:r>
            <w:r w:rsidR="59F40E7D">
              <w:t>5</w:t>
            </w:r>
            <w:proofErr w:type="gramEnd"/>
            <w:r w:rsidR="001520DB" w:rsidRPr="00045FE8">
              <w:t xml:space="preserve">      </w:t>
            </w:r>
          </w:p>
        </w:tc>
        <w:tc>
          <w:tcPr>
            <w:tcW w:w="7560" w:type="dxa"/>
            <w:shd w:val="clear" w:color="auto" w:fill="auto"/>
          </w:tcPr>
          <w:p w14:paraId="00F5C96C" w14:textId="16109F80" w:rsidR="001520DB" w:rsidRPr="008A1410" w:rsidRDefault="00F93E9C" w:rsidP="006D2EA0">
            <w:pPr>
              <w:tabs>
                <w:tab w:val="left" w:pos="1418"/>
              </w:tabs>
              <w:ind w:left="31" w:hanging="31"/>
              <w:jc w:val="both"/>
            </w:pPr>
            <w:r w:rsidRPr="008A1410">
              <w:t>Návrh</w:t>
            </w:r>
            <w:r w:rsidR="001520DB" w:rsidRPr="008A1410">
              <w:t xml:space="preserve"> je velmi inovativní</w:t>
            </w:r>
            <w:r w:rsidRPr="008A1410">
              <w:t xml:space="preserve"> a</w:t>
            </w:r>
            <w:r w:rsidR="001520DB" w:rsidRPr="008A1410">
              <w:t xml:space="preserve"> originální, plně koresponduje se záměrem</w:t>
            </w:r>
            <w:r w:rsidR="008A1410">
              <w:t xml:space="preserve"> </w:t>
            </w:r>
            <w:r w:rsidR="004637B1">
              <w:t>Z</w:t>
            </w:r>
            <w:r w:rsidR="001520DB" w:rsidRPr="008A1410">
              <w:t>adavatele</w:t>
            </w:r>
          </w:p>
        </w:tc>
      </w:tr>
      <w:tr w:rsidR="001520DB" w:rsidRPr="008A1410" w14:paraId="75751B1A" w14:textId="77777777" w:rsidTr="006D2EA0">
        <w:tc>
          <w:tcPr>
            <w:tcW w:w="1120" w:type="dxa"/>
            <w:shd w:val="clear" w:color="auto" w:fill="auto"/>
          </w:tcPr>
          <w:p w14:paraId="6D2A306C" w14:textId="163E9B19" w:rsidR="001520DB" w:rsidRPr="00045FE8" w:rsidRDefault="6ED49484" w:rsidP="006D2EA0">
            <w:pPr>
              <w:jc w:val="both"/>
            </w:pPr>
            <w:proofErr w:type="gramStart"/>
            <w:r>
              <w:t>4</w:t>
            </w:r>
            <w:r w:rsidR="14071435">
              <w:t>4</w:t>
            </w:r>
            <w:r w:rsidR="001520DB" w:rsidRPr="00045FE8">
              <w:t xml:space="preserve"> – </w:t>
            </w:r>
            <w:r w:rsidR="4B098B47">
              <w:t>29</w:t>
            </w:r>
            <w:proofErr w:type="gramEnd"/>
            <w:r w:rsidR="001520DB" w:rsidRPr="00045FE8">
              <w:t xml:space="preserve">   </w:t>
            </w:r>
          </w:p>
        </w:tc>
        <w:tc>
          <w:tcPr>
            <w:tcW w:w="7560" w:type="dxa"/>
            <w:shd w:val="clear" w:color="auto" w:fill="auto"/>
          </w:tcPr>
          <w:p w14:paraId="0690A0CA" w14:textId="732B31D6" w:rsidR="001520DB" w:rsidRPr="008A1410" w:rsidRDefault="00F93E9C" w:rsidP="006D2EA0">
            <w:pPr>
              <w:jc w:val="both"/>
            </w:pPr>
            <w:r w:rsidRPr="008A1410">
              <w:t>Návrh</w:t>
            </w:r>
            <w:r w:rsidR="001520DB" w:rsidRPr="008A1410">
              <w:t xml:space="preserve"> je nadprůměrn</w:t>
            </w:r>
            <w:r w:rsidRPr="008A1410">
              <w:t>ý</w:t>
            </w:r>
            <w:r w:rsidR="001520DB" w:rsidRPr="008A1410">
              <w:t>, koncept koresponduje se záměrem Zadavatele</w:t>
            </w:r>
          </w:p>
        </w:tc>
      </w:tr>
      <w:tr w:rsidR="001520DB" w:rsidRPr="008A1410" w14:paraId="4D27FDFB" w14:textId="77777777" w:rsidTr="006D2EA0">
        <w:tc>
          <w:tcPr>
            <w:tcW w:w="1120" w:type="dxa"/>
            <w:shd w:val="clear" w:color="auto" w:fill="auto"/>
          </w:tcPr>
          <w:p w14:paraId="289DBDB7" w14:textId="690804B7" w:rsidR="001520DB" w:rsidRPr="00045FE8" w:rsidRDefault="58EEE595" w:rsidP="006D2EA0">
            <w:pPr>
              <w:jc w:val="both"/>
            </w:pPr>
            <w:proofErr w:type="gramStart"/>
            <w:r>
              <w:t>1</w:t>
            </w:r>
            <w:r w:rsidR="14071435">
              <w:t>8</w:t>
            </w:r>
            <w:r w:rsidR="001520DB" w:rsidRPr="00045FE8">
              <w:t xml:space="preserve"> – </w:t>
            </w:r>
            <w:r w:rsidR="14071435">
              <w:t>1</w:t>
            </w:r>
            <w:r w:rsidR="73594A1B">
              <w:t>7</w:t>
            </w:r>
            <w:proofErr w:type="gramEnd"/>
            <w:r w:rsidR="001520DB" w:rsidRPr="00045FE8">
              <w:t xml:space="preserve">      </w:t>
            </w:r>
          </w:p>
        </w:tc>
        <w:tc>
          <w:tcPr>
            <w:tcW w:w="7560" w:type="dxa"/>
            <w:shd w:val="clear" w:color="auto" w:fill="auto"/>
          </w:tcPr>
          <w:p w14:paraId="4683E654" w14:textId="21E07598" w:rsidR="001520DB" w:rsidRPr="008A1410" w:rsidRDefault="00F93E9C" w:rsidP="006D2EA0">
            <w:pPr>
              <w:jc w:val="both"/>
            </w:pPr>
            <w:r w:rsidRPr="008A1410">
              <w:t>Návrh</w:t>
            </w:r>
            <w:r w:rsidR="001520DB" w:rsidRPr="008A1410">
              <w:t xml:space="preserve"> je průměr</w:t>
            </w:r>
            <w:r w:rsidRPr="008A1410">
              <w:t>ný</w:t>
            </w:r>
            <w:r w:rsidR="001520DB" w:rsidRPr="008A1410">
              <w:t>, koncept koresponduje se záměrem Zadavatele pouze částečně</w:t>
            </w:r>
          </w:p>
        </w:tc>
      </w:tr>
      <w:tr w:rsidR="001520DB" w:rsidRPr="008A1410" w14:paraId="6F2FBA5C" w14:textId="77777777" w:rsidTr="006D2EA0">
        <w:tc>
          <w:tcPr>
            <w:tcW w:w="1120" w:type="dxa"/>
            <w:shd w:val="clear" w:color="auto" w:fill="auto"/>
          </w:tcPr>
          <w:p w14:paraId="12475B61" w14:textId="575C4A7E" w:rsidR="001520DB" w:rsidRPr="00045FE8" w:rsidRDefault="14071435" w:rsidP="006D2EA0">
            <w:pPr>
              <w:jc w:val="both"/>
            </w:pPr>
            <w:proofErr w:type="gramStart"/>
            <w:r>
              <w:t>1</w:t>
            </w:r>
            <w:r w:rsidR="0CF1AFDF">
              <w:t>6</w:t>
            </w:r>
            <w:r w:rsidR="001520DB" w:rsidRPr="00045FE8">
              <w:t xml:space="preserve"> – </w:t>
            </w:r>
            <w:r w:rsidR="0002665E">
              <w:t>7</w:t>
            </w:r>
            <w:proofErr w:type="gramEnd"/>
            <w:r w:rsidR="001520DB" w:rsidRPr="00045FE8">
              <w:t xml:space="preserve">  </w:t>
            </w:r>
          </w:p>
        </w:tc>
        <w:tc>
          <w:tcPr>
            <w:tcW w:w="7560" w:type="dxa"/>
            <w:shd w:val="clear" w:color="auto" w:fill="auto"/>
          </w:tcPr>
          <w:p w14:paraId="56895FDE" w14:textId="18C72CB5" w:rsidR="001520DB" w:rsidRPr="008A1410" w:rsidRDefault="00F93E9C" w:rsidP="006D2EA0">
            <w:pPr>
              <w:tabs>
                <w:tab w:val="left" w:pos="426"/>
              </w:tabs>
              <w:jc w:val="both"/>
            </w:pPr>
            <w:r w:rsidRPr="008A1410">
              <w:t>Návrh</w:t>
            </w:r>
            <w:r w:rsidR="001520DB" w:rsidRPr="008A1410">
              <w:t xml:space="preserve"> je spíše podprůměrn</w:t>
            </w:r>
            <w:r w:rsidRPr="008A1410">
              <w:t>ý</w:t>
            </w:r>
            <w:r w:rsidR="001520DB" w:rsidRPr="008A1410">
              <w:t xml:space="preserve">, koncept z větší části nekoresponduje se záměrem Zadavatele </w:t>
            </w:r>
          </w:p>
        </w:tc>
      </w:tr>
      <w:tr w:rsidR="001520DB" w:rsidRPr="008A1410" w14:paraId="7549CE19" w14:textId="77777777" w:rsidTr="006D2EA0">
        <w:tc>
          <w:tcPr>
            <w:tcW w:w="1120" w:type="dxa"/>
            <w:shd w:val="clear" w:color="auto" w:fill="auto"/>
          </w:tcPr>
          <w:p w14:paraId="150D5F26" w14:textId="3211EF38" w:rsidR="001520DB" w:rsidRPr="00045FE8" w:rsidRDefault="0002665E" w:rsidP="006D2EA0">
            <w:pPr>
              <w:jc w:val="both"/>
            </w:pPr>
            <w:proofErr w:type="gramStart"/>
            <w:r>
              <w:t>6</w:t>
            </w:r>
            <w:r w:rsidR="001520DB" w:rsidRPr="00045FE8">
              <w:t xml:space="preserve"> – 0</w:t>
            </w:r>
            <w:proofErr w:type="gramEnd"/>
          </w:p>
        </w:tc>
        <w:tc>
          <w:tcPr>
            <w:tcW w:w="7560" w:type="dxa"/>
            <w:shd w:val="clear" w:color="auto" w:fill="auto"/>
          </w:tcPr>
          <w:p w14:paraId="3D07F4DE" w14:textId="55B1CD00" w:rsidR="001520DB" w:rsidRPr="008A1410" w:rsidRDefault="00F93E9C" w:rsidP="006D2EA0">
            <w:pPr>
              <w:jc w:val="both"/>
            </w:pPr>
            <w:r w:rsidRPr="008A1410">
              <w:t>Návrh</w:t>
            </w:r>
            <w:r w:rsidR="001520DB" w:rsidRPr="008A1410">
              <w:t xml:space="preserve"> je podprůměrn</w:t>
            </w:r>
            <w:r w:rsidRPr="008A1410">
              <w:t>ý</w:t>
            </w:r>
            <w:r w:rsidR="008A1410" w:rsidRPr="008A1410">
              <w:t xml:space="preserve"> a</w:t>
            </w:r>
            <w:r w:rsidR="001520DB" w:rsidRPr="008A1410">
              <w:t xml:space="preserve"> zcela nekoresponduje se zadáním Zadavatele</w:t>
            </w:r>
          </w:p>
        </w:tc>
      </w:tr>
    </w:tbl>
    <w:p w14:paraId="2B74930A" w14:textId="77777777" w:rsidR="001520DB" w:rsidRPr="00885A76" w:rsidRDefault="001520DB" w:rsidP="001520DB">
      <w:pPr>
        <w:jc w:val="both"/>
        <w:rPr>
          <w:bCs/>
        </w:rPr>
      </w:pPr>
    </w:p>
    <w:p w14:paraId="4DB25125" w14:textId="6D41F250" w:rsidR="2B0B9ABE" w:rsidRDefault="2B0B9ABE" w:rsidP="2B0B9ABE">
      <w:pPr>
        <w:jc w:val="both"/>
      </w:pPr>
    </w:p>
    <w:p w14:paraId="469531D5" w14:textId="76622CBD" w:rsidR="001520DB" w:rsidRDefault="001520DB" w:rsidP="001520DB">
      <w:pPr>
        <w:jc w:val="both"/>
      </w:pPr>
      <w:r w:rsidRPr="00045FE8">
        <w:t xml:space="preserve">Celkový počet získaných bodů je dán součtem bodů získaných hodnocením </w:t>
      </w:r>
      <w:r w:rsidR="623D4D73">
        <w:t>obou</w:t>
      </w:r>
      <w:r w:rsidRPr="00045FE8">
        <w:t xml:space="preserve"> dílčích hodnotících kritérií. Nabídka, která získá nejvyšší celkový počet bodů, bude vyhodnocena jako </w:t>
      </w:r>
      <w:r w:rsidR="0CA2870B">
        <w:t>ekonomicky nejvýhodnější</w:t>
      </w:r>
      <w:r>
        <w:t>.</w:t>
      </w:r>
      <w:r w:rsidRPr="00045FE8">
        <w:t xml:space="preserve"> Ostatní nabídky budou seřazeny dle počtu získaných bodů sestupně za nejlepší nabídkou a jejich pořadí bude očíslováno.</w:t>
      </w:r>
    </w:p>
    <w:p w14:paraId="64A5A16D" w14:textId="77777777" w:rsidR="001520DB" w:rsidRDefault="001520DB" w:rsidP="001520DB">
      <w:pPr>
        <w:spacing w:after="160" w:line="259" w:lineRule="auto"/>
      </w:pPr>
    </w:p>
    <w:p w14:paraId="6C319349" w14:textId="77777777" w:rsidR="00893C7D" w:rsidRPr="00EE37F7" w:rsidRDefault="00893C7D" w:rsidP="005E32D4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contextualSpacing w:val="0"/>
        <w:jc w:val="both"/>
        <w:textAlignment w:val="baseline"/>
        <w:rPr>
          <w:b/>
        </w:rPr>
      </w:pPr>
      <w:r w:rsidRPr="00EE37F7">
        <w:rPr>
          <w:b/>
        </w:rPr>
        <w:t>Informace k ochraně osobních údajů</w:t>
      </w:r>
    </w:p>
    <w:p w14:paraId="44EC4823" w14:textId="77777777" w:rsidR="00893C7D" w:rsidRDefault="00893C7D" w:rsidP="00893C7D">
      <w:pPr>
        <w:pStyle w:val="NoSpacing"/>
        <w:jc w:val="both"/>
      </w:pPr>
    </w:p>
    <w:p w14:paraId="379840DB" w14:textId="77777777" w:rsidR="00893C7D" w:rsidRPr="00EE37F7" w:rsidRDefault="00893C7D" w:rsidP="00893C7D">
      <w:pPr>
        <w:pStyle w:val="NoSpacing"/>
        <w:jc w:val="both"/>
      </w:pPr>
      <w:r w:rsidRPr="00EE37F7">
        <w:t xml:space="preserve">Zadavatel v postavení správce osobních údajů tímto informuje ve smyslu čl. 13 Nařízení Evropského parlamentu a Rady (EU) 2016/679 o ochraně fyzických osob v souvislosti se zpracováním osobních údajů a o volném pohybu těchto údajů (dále jen „GDPR“) a zákona č. 110/2019 Sb., o zpracování osobních údajů, ve znění pozdějších předpisů, účastníka </w:t>
      </w:r>
      <w:r w:rsidRPr="00EE37F7">
        <w:br/>
        <w:t xml:space="preserve">o zpracování osobních údajů za účelem zadání veřejné zakázky malého rozsahu. </w:t>
      </w:r>
    </w:p>
    <w:p w14:paraId="66FCD8BD" w14:textId="77777777" w:rsidR="00893C7D" w:rsidRDefault="00893C7D" w:rsidP="00893C7D">
      <w:pPr>
        <w:pStyle w:val="NoSpacing"/>
        <w:jc w:val="both"/>
      </w:pPr>
    </w:p>
    <w:p w14:paraId="0D13B9EF" w14:textId="104F8155" w:rsidR="00893C7D" w:rsidRPr="00EE37F7" w:rsidRDefault="00893C7D" w:rsidP="00893C7D">
      <w:pPr>
        <w:pStyle w:val="NoSpacing"/>
        <w:jc w:val="both"/>
      </w:pPr>
      <w:r w:rsidRPr="00EE37F7">
        <w:t xml:space="preserve">Zadavatel může v rámci realizace </w:t>
      </w:r>
      <w:r w:rsidR="2833BF42">
        <w:t>postupu směřujícího k výběru dodavatele pro tuto veřejnou zakázku</w:t>
      </w:r>
      <w:r w:rsidR="005473E9">
        <w:t xml:space="preserve"> zpracovávat osobní údaje </w:t>
      </w:r>
      <w:r w:rsidR="2F34F3BC">
        <w:t xml:space="preserve">dodavatele </w:t>
      </w:r>
      <w:r w:rsidRPr="00EE37F7">
        <w:t xml:space="preserve">a jeho případných </w:t>
      </w:r>
      <w:r w:rsidR="2E9A55A6">
        <w:t>sub</w:t>
      </w:r>
      <w:r>
        <w:t>dodavatelů</w:t>
      </w:r>
      <w:r w:rsidRPr="00EE37F7">
        <w:t xml:space="preserve"> (z řad fyzických osob podnikajících), členů statutár</w:t>
      </w:r>
      <w:r w:rsidR="005473E9">
        <w:t xml:space="preserve">ních orgánů a kontaktních osob </w:t>
      </w:r>
      <w:r w:rsidR="5A30D0B8">
        <w:t>dodavatel</w:t>
      </w:r>
      <w:r w:rsidR="005473E9">
        <w:t>e</w:t>
      </w:r>
      <w:r w:rsidRPr="00EE37F7">
        <w:t xml:space="preserve"> a dalších nezbytných osobních údajů. Zadavatel bude zpracovávat osobní údaje pouze v rozsahu nezbytném pro realizaci </w:t>
      </w:r>
      <w:r>
        <w:t>tohoto</w:t>
      </w:r>
      <w:r w:rsidRPr="00EE37F7">
        <w:t xml:space="preserve"> řízení a pouze po dobu stanovenou právními předpisy. Subjekty údajů jsou oprávněny uplatňovat jejich práva dle čl. 13 až 22 GDPR v písemné formě na adrese sídla zadavatele.</w:t>
      </w:r>
    </w:p>
    <w:p w14:paraId="4E0A80BE" w14:textId="6E5D4EA5" w:rsidR="7F47C251" w:rsidRDefault="7F47C251" w:rsidP="7F47C251">
      <w:pPr>
        <w:pStyle w:val="NoSpacing"/>
        <w:jc w:val="both"/>
      </w:pPr>
    </w:p>
    <w:p w14:paraId="34D50C18" w14:textId="4E30D7E9" w:rsidR="005672E5" w:rsidRPr="0066163E" w:rsidRDefault="03C1E7F8" w:rsidP="7E1DA6AB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before="120"/>
        <w:ind w:hanging="720"/>
        <w:jc w:val="both"/>
        <w:textAlignment w:val="baseline"/>
        <w:rPr>
          <w:b/>
          <w:bCs/>
        </w:rPr>
      </w:pPr>
      <w:bookmarkStart w:id="2" w:name="_Hlk12964708"/>
      <w:r w:rsidRPr="7E1DA6AB">
        <w:rPr>
          <w:b/>
          <w:bCs/>
        </w:rPr>
        <w:t>Další podmínky a záv</w:t>
      </w:r>
      <w:r w:rsidR="60F4B1D1" w:rsidRPr="7E1DA6AB">
        <w:rPr>
          <w:b/>
          <w:bCs/>
        </w:rPr>
        <w:t>ěr</w:t>
      </w:r>
      <w:r w:rsidRPr="7E1DA6AB">
        <w:rPr>
          <w:b/>
          <w:bCs/>
        </w:rPr>
        <w:t>ečné informace</w:t>
      </w:r>
    </w:p>
    <w:bookmarkEnd w:id="2"/>
    <w:p w14:paraId="6C3DB6BA" w14:textId="77777777" w:rsidR="00A46EA1" w:rsidRDefault="00A46EA1" w:rsidP="007C354A">
      <w:pPr>
        <w:rPr>
          <w:highlight w:val="red"/>
        </w:rPr>
      </w:pPr>
    </w:p>
    <w:p w14:paraId="1697FEC0" w14:textId="77777777" w:rsidR="005672E5" w:rsidRDefault="005672E5" w:rsidP="005672E5">
      <w:pPr>
        <w:pStyle w:val="NoSpacing"/>
      </w:pPr>
      <w:r w:rsidRPr="00930C8F">
        <w:t>Zadavatel si vyhrazuje právo:</w:t>
      </w:r>
    </w:p>
    <w:p w14:paraId="6014C4EB" w14:textId="77777777" w:rsidR="005672E5" w:rsidRPr="00E12CFD" w:rsidRDefault="005672E5" w:rsidP="005E32D4">
      <w:pPr>
        <w:numPr>
          <w:ilvl w:val="0"/>
          <w:numId w:val="3"/>
        </w:numPr>
        <w:jc w:val="both"/>
        <w:rPr>
          <w:b/>
        </w:rPr>
      </w:pPr>
      <w:r w:rsidRPr="00E12CFD">
        <w:t>v průběhu lhůty pro podání nabídek měnit, doplnit či upřesnit podmínky zadání veřejné zakázky a zadávací podmínky,</w:t>
      </w:r>
    </w:p>
    <w:p w14:paraId="17D35BEB" w14:textId="77777777" w:rsidR="005672E5" w:rsidRPr="00E12CFD" w:rsidRDefault="005672E5" w:rsidP="005E32D4">
      <w:pPr>
        <w:numPr>
          <w:ilvl w:val="0"/>
          <w:numId w:val="3"/>
        </w:numPr>
        <w:jc w:val="both"/>
        <w:rPr>
          <w:b/>
        </w:rPr>
      </w:pPr>
      <w:r w:rsidRPr="00E12CFD">
        <w:t>nevybrat žádnou nabídku, a to i bez uvedení důvodu,</w:t>
      </w:r>
    </w:p>
    <w:p w14:paraId="2279F31B" w14:textId="43514C19" w:rsidR="005672E5" w:rsidRPr="00E12CFD" w:rsidRDefault="005672E5" w:rsidP="005E32D4">
      <w:pPr>
        <w:numPr>
          <w:ilvl w:val="0"/>
          <w:numId w:val="3"/>
        </w:numPr>
        <w:jc w:val="both"/>
        <w:rPr>
          <w:b/>
        </w:rPr>
      </w:pPr>
      <w:r w:rsidRPr="00E12CFD">
        <w:t xml:space="preserve">neuzavřít smluvní vztah s žádným </w:t>
      </w:r>
      <w:r w:rsidR="308771B8">
        <w:t>dodavatelem</w:t>
      </w:r>
      <w:r w:rsidRPr="00E12CFD">
        <w:t>,</w:t>
      </w:r>
    </w:p>
    <w:p w14:paraId="3B701725" w14:textId="77777777" w:rsidR="005672E5" w:rsidRPr="00E12CFD" w:rsidRDefault="005672E5" w:rsidP="005E32D4">
      <w:pPr>
        <w:numPr>
          <w:ilvl w:val="0"/>
          <w:numId w:val="3"/>
        </w:numPr>
        <w:jc w:val="both"/>
        <w:rPr>
          <w:b/>
        </w:rPr>
      </w:pPr>
      <w:r w:rsidRPr="00E12CFD">
        <w:t>odmítnout všechny nabídky,</w:t>
      </w:r>
    </w:p>
    <w:p w14:paraId="5634B318" w14:textId="77777777" w:rsidR="005672E5" w:rsidRPr="00E12CFD" w:rsidRDefault="005672E5" w:rsidP="005E32D4">
      <w:pPr>
        <w:numPr>
          <w:ilvl w:val="0"/>
          <w:numId w:val="3"/>
        </w:numPr>
        <w:jc w:val="both"/>
        <w:rPr>
          <w:b/>
        </w:rPr>
      </w:pPr>
      <w:r w:rsidRPr="00E12CFD">
        <w:t>výběrové řízení kdykoliv zrušit,</w:t>
      </w:r>
    </w:p>
    <w:p w14:paraId="3EC77297" w14:textId="77777777" w:rsidR="005672E5" w:rsidRPr="00E12CFD" w:rsidRDefault="005672E5" w:rsidP="005E32D4">
      <w:pPr>
        <w:numPr>
          <w:ilvl w:val="0"/>
          <w:numId w:val="3"/>
        </w:numPr>
        <w:jc w:val="both"/>
        <w:rPr>
          <w:b/>
        </w:rPr>
      </w:pPr>
      <w:r w:rsidRPr="00E12CFD">
        <w:t>realizovat předmět plnění veřejné zakázky jen v části.</w:t>
      </w:r>
    </w:p>
    <w:p w14:paraId="0483E0A7" w14:textId="77777777" w:rsidR="005672E5" w:rsidRDefault="005672E5" w:rsidP="005672E5">
      <w:pPr>
        <w:pStyle w:val="NoSpacing"/>
      </w:pPr>
    </w:p>
    <w:p w14:paraId="524E1952" w14:textId="4ED68E07" w:rsidR="005672E5" w:rsidRDefault="005672E5" w:rsidP="00092B91">
      <w:pPr>
        <w:pStyle w:val="NoSpacing"/>
        <w:jc w:val="both"/>
      </w:pPr>
      <w:r w:rsidRPr="00D00179">
        <w:rPr>
          <w:bCs/>
        </w:rPr>
        <w:t>Zadavatel</w:t>
      </w:r>
      <w:r w:rsidRPr="00930C8F">
        <w:t xml:space="preserve"> prohlašuje, že poskytnuté údaje o jednotlivých </w:t>
      </w:r>
      <w:r w:rsidR="39796093">
        <w:t>dodavatelích</w:t>
      </w:r>
      <w:r w:rsidR="005473E9" w:rsidRPr="00930C8F">
        <w:t xml:space="preserve"> </w:t>
      </w:r>
      <w:r w:rsidRPr="00930C8F">
        <w:t xml:space="preserve">považuje za důvěrné a bude je využívat jen pro účely </w:t>
      </w:r>
      <w:r w:rsidR="3500EC0A">
        <w:t>postupu pro výběr dodavatele dle této zadávací dokumentace</w:t>
      </w:r>
      <w:r w:rsidRPr="00930C8F">
        <w:t>.</w:t>
      </w:r>
    </w:p>
    <w:p w14:paraId="192E308A" w14:textId="77777777" w:rsidR="00144A9A" w:rsidRDefault="00144A9A" w:rsidP="007C354A">
      <w:pPr>
        <w:jc w:val="both"/>
      </w:pPr>
    </w:p>
    <w:p w14:paraId="1C08D821" w14:textId="497AF9C9" w:rsidR="001E400F" w:rsidRPr="00700332" w:rsidRDefault="005672E5" w:rsidP="007C354A">
      <w:pPr>
        <w:jc w:val="both"/>
        <w:rPr>
          <w:b/>
        </w:rPr>
      </w:pPr>
      <w:r>
        <w:t xml:space="preserve">Každý </w:t>
      </w:r>
      <w:r w:rsidR="56358C6E">
        <w:t>dodavatel</w:t>
      </w:r>
      <w:r w:rsidR="001E400F" w:rsidRPr="00700332">
        <w:t xml:space="preserve"> může podat pouze jednu nabídku</w:t>
      </w:r>
      <w:r>
        <w:t xml:space="preserve">. </w:t>
      </w:r>
      <w:r w:rsidRPr="00700332">
        <w:t xml:space="preserve">Žádná osoba se nesmí zúčastnit tohoto zadávacího řízení jako </w:t>
      </w:r>
      <w:r w:rsidR="3A03006D">
        <w:t>dodavatel</w:t>
      </w:r>
      <w:r w:rsidRPr="00700332">
        <w:t xml:space="preserve"> více než jednou</w:t>
      </w:r>
      <w:r w:rsidR="00D00179">
        <w:t>,</w:t>
      </w:r>
      <w:r>
        <w:t xml:space="preserve"> přičemž zadavatel nepřipouští variantní nabídky.</w:t>
      </w:r>
    </w:p>
    <w:p w14:paraId="1A583418" w14:textId="77777777" w:rsidR="001E400F" w:rsidRPr="00700332" w:rsidRDefault="001E400F" w:rsidP="006E3D7D">
      <w:pPr>
        <w:rPr>
          <w:b/>
        </w:rPr>
      </w:pPr>
    </w:p>
    <w:p w14:paraId="44D348D9" w14:textId="2CD083D1" w:rsidR="001E400F" w:rsidRPr="007270DF" w:rsidRDefault="001E400F" w:rsidP="007C354A">
      <w:pPr>
        <w:jc w:val="both"/>
        <w:rPr>
          <w:b/>
        </w:rPr>
      </w:pPr>
      <w:r w:rsidRPr="00700332">
        <w:t xml:space="preserve">Náklady </w:t>
      </w:r>
      <w:r w:rsidR="052CADB5">
        <w:t>dodavatelů</w:t>
      </w:r>
      <w:r w:rsidRPr="00700332">
        <w:t xml:space="preserve"> spojené s účastí v zadávacím řízení zadavatel nehradí.</w:t>
      </w:r>
    </w:p>
    <w:p w14:paraId="789E7549" w14:textId="77777777" w:rsidR="001E400F" w:rsidRPr="00700332" w:rsidRDefault="001E400F" w:rsidP="006E3D7D">
      <w:pPr>
        <w:ind w:left="360"/>
      </w:pPr>
    </w:p>
    <w:p w14:paraId="72066428" w14:textId="0FF0B11C" w:rsidR="001E400F" w:rsidRPr="00700332" w:rsidRDefault="001E400F" w:rsidP="007C354A">
      <w:pPr>
        <w:jc w:val="both"/>
      </w:pPr>
      <w:r w:rsidRPr="00700332">
        <w:t xml:space="preserve">Zadavatel bude informovat </w:t>
      </w:r>
      <w:r w:rsidR="5733DA9E">
        <w:t>dodavatele</w:t>
      </w:r>
      <w:r w:rsidRPr="00700332">
        <w:t xml:space="preserve"> o výsledku </w:t>
      </w:r>
      <w:r w:rsidR="396FCA0B">
        <w:t>daného postupu</w:t>
      </w:r>
      <w:r w:rsidRPr="00700332">
        <w:t xml:space="preserve"> po jeho skončení </w:t>
      </w:r>
      <w:r w:rsidR="5FB9CAAE">
        <w:t>prostřednictvím</w:t>
      </w:r>
      <w:r>
        <w:t xml:space="preserve"> </w:t>
      </w:r>
      <w:r w:rsidRPr="00700332">
        <w:t>e-</w:t>
      </w:r>
      <w:r>
        <w:t>mail</w:t>
      </w:r>
      <w:r w:rsidR="527CEE76">
        <w:t>ové korespondence</w:t>
      </w:r>
      <w:r w:rsidRPr="00700332">
        <w:t xml:space="preserve">. </w:t>
      </w:r>
    </w:p>
    <w:p w14:paraId="7A3D4F6F" w14:textId="77777777" w:rsidR="001E400F" w:rsidRPr="00700332" w:rsidRDefault="001E400F" w:rsidP="006E3D7D"/>
    <w:p w14:paraId="1D1D4DBD" w14:textId="77777777" w:rsidR="001E400F" w:rsidRPr="00700332" w:rsidRDefault="001E400F" w:rsidP="007C354A">
      <w:pPr>
        <w:keepNext/>
        <w:jc w:val="both"/>
        <w:rPr>
          <w:b/>
        </w:rPr>
      </w:pPr>
      <w:r w:rsidRPr="00700332">
        <w:t>Nabídka, která:</w:t>
      </w:r>
    </w:p>
    <w:p w14:paraId="083BFB3E" w14:textId="77777777" w:rsidR="001E400F" w:rsidRPr="00700332" w:rsidRDefault="001E400F" w:rsidP="005E32D4">
      <w:pPr>
        <w:keepNext/>
        <w:numPr>
          <w:ilvl w:val="2"/>
          <w:numId w:val="4"/>
        </w:numPr>
        <w:tabs>
          <w:tab w:val="clear" w:pos="1259"/>
        </w:tabs>
        <w:ind w:left="709" w:hanging="425"/>
        <w:jc w:val="both"/>
        <w:rPr>
          <w:b/>
        </w:rPr>
      </w:pPr>
      <w:r w:rsidRPr="00700332">
        <w:t>nebude úplná nebo nebude obsahovat veškeré doklady, informace a přílohy stanovené těmito zadávacími podmínkami</w:t>
      </w:r>
      <w:r w:rsidR="00D7309F">
        <w:t>;</w:t>
      </w:r>
    </w:p>
    <w:p w14:paraId="00223A1E" w14:textId="77777777" w:rsidR="001E400F" w:rsidRPr="00700332" w:rsidRDefault="001E400F" w:rsidP="005E32D4">
      <w:pPr>
        <w:numPr>
          <w:ilvl w:val="2"/>
          <w:numId w:val="4"/>
        </w:numPr>
        <w:tabs>
          <w:tab w:val="clear" w:pos="1259"/>
        </w:tabs>
        <w:ind w:left="709" w:hanging="425"/>
        <w:jc w:val="both"/>
        <w:rPr>
          <w:b/>
        </w:rPr>
      </w:pPr>
      <w:r w:rsidRPr="00700332">
        <w:t>bude označena nebo doručena v rozporu s těmito zadávacími podmínkami</w:t>
      </w:r>
      <w:r w:rsidR="00D7309F">
        <w:t>;</w:t>
      </w:r>
    </w:p>
    <w:p w14:paraId="3C1C340A" w14:textId="77777777" w:rsidR="00D7309F" w:rsidRDefault="001E400F" w:rsidP="005E32D4">
      <w:pPr>
        <w:numPr>
          <w:ilvl w:val="2"/>
          <w:numId w:val="4"/>
        </w:numPr>
        <w:tabs>
          <w:tab w:val="clear" w:pos="1259"/>
        </w:tabs>
        <w:ind w:left="709" w:hanging="425"/>
        <w:jc w:val="both"/>
        <w:rPr>
          <w:b/>
        </w:rPr>
      </w:pPr>
      <w:r w:rsidRPr="00700332">
        <w:t>bude doručena po uplynutí lhůty pro podání nabídek</w:t>
      </w:r>
      <w:r w:rsidR="00D7309F">
        <w:t>;</w:t>
      </w:r>
    </w:p>
    <w:p w14:paraId="210544BE" w14:textId="050900DD" w:rsidR="00D7309F" w:rsidRPr="00700332" w:rsidRDefault="00D7309F" w:rsidP="005E32D4">
      <w:pPr>
        <w:numPr>
          <w:ilvl w:val="2"/>
          <w:numId w:val="4"/>
        </w:numPr>
        <w:tabs>
          <w:tab w:val="clear" w:pos="1259"/>
        </w:tabs>
        <w:ind w:left="709" w:hanging="425"/>
        <w:jc w:val="both"/>
        <w:rPr>
          <w:b/>
        </w:rPr>
      </w:pPr>
      <w:r>
        <w:t xml:space="preserve">bude obsahovat nabídkovou cenu, která byla stanovena tak, že se jedná </w:t>
      </w:r>
      <w:r w:rsidR="00D517DA">
        <w:t>o nabídkovou</w:t>
      </w:r>
      <w:r w:rsidR="00D517DA" w:rsidRPr="008F545C">
        <w:t xml:space="preserve"> cen</w:t>
      </w:r>
      <w:r w:rsidR="00D517DA">
        <w:t xml:space="preserve">u mimořádně </w:t>
      </w:r>
      <w:r>
        <w:t>nízkou</w:t>
      </w:r>
      <w:r w:rsidR="00FC7DCF">
        <w:t>;</w:t>
      </w:r>
    </w:p>
    <w:p w14:paraId="07236A41" w14:textId="639684A8" w:rsidR="14B2F373" w:rsidRDefault="14B2F373" w:rsidP="14B2F373">
      <w:pPr>
        <w:rPr>
          <w:b/>
          <w:bCs/>
        </w:rPr>
      </w:pPr>
    </w:p>
    <w:p w14:paraId="622AFE78" w14:textId="77777777" w:rsidR="001E400F" w:rsidRPr="00700332" w:rsidRDefault="001E400F" w:rsidP="007C354A">
      <w:r w:rsidRPr="00700332">
        <w:rPr>
          <w:b/>
        </w:rPr>
        <w:t>nebude zadavatelem hodnocena</w:t>
      </w:r>
      <w:r w:rsidRPr="00700332">
        <w:t>.</w:t>
      </w:r>
    </w:p>
    <w:p w14:paraId="05213BB8" w14:textId="77777777" w:rsidR="00CB27C8" w:rsidRDefault="00CB27C8" w:rsidP="002C2262">
      <w:pPr>
        <w:jc w:val="both"/>
      </w:pPr>
    </w:p>
    <w:p w14:paraId="43AB9CF7" w14:textId="63E67B4E" w:rsidR="00CB27C8" w:rsidRPr="00D94A53" w:rsidRDefault="0D9CFBBE" w:rsidP="00CB27C8">
      <w:pPr>
        <w:jc w:val="both"/>
      </w:pPr>
      <w:r>
        <w:t>Dodavatelé</w:t>
      </w:r>
      <w:r w:rsidR="00CB27C8" w:rsidRPr="574B343F">
        <w:t xml:space="preserve"> jsou oprávněni podávat Zadavateli žádosti o dodatečné informace k zadávacím podmínkám veřejné zakázky dle těchto zadávacích podmínek nejpozději 5 pracovních dnů před uplynutím lhůty pro </w:t>
      </w:r>
      <w:r w:rsidR="00CB27C8" w:rsidRPr="00AF0632">
        <w:t xml:space="preserve">podání nabídek. Žádosti o dodatečné informace </w:t>
      </w:r>
      <w:r w:rsidR="0F4BBCE1">
        <w:t>dodavatelé</w:t>
      </w:r>
      <w:r w:rsidR="00CB27C8" w:rsidRPr="00AF0632">
        <w:t xml:space="preserve"> podávají </w:t>
      </w:r>
      <w:r w:rsidR="73A5D13B">
        <w:t xml:space="preserve">prostřednictvím elektronického nástroje E-ZAK nebo </w:t>
      </w:r>
      <w:r w:rsidR="00CB27C8" w:rsidRPr="00AF0632">
        <w:t>na e-mailovou adresu kontaktní osoby zadavatele (</w:t>
      </w:r>
      <w:hyperlink r:id="rId15">
        <w:r w:rsidR="00CB27C8" w:rsidRPr="2B0B9ABE">
          <w:rPr>
            <w:rStyle w:val="Hyperlink"/>
          </w:rPr>
          <w:t>raszkova.sona@brno.cz</w:t>
        </w:r>
      </w:hyperlink>
      <w:r w:rsidR="00CB27C8">
        <w:t>).</w:t>
      </w:r>
      <w:r w:rsidR="00CB27C8" w:rsidRPr="00AF0632">
        <w:t xml:space="preserve"> Zadavatel</w:t>
      </w:r>
      <w:r w:rsidR="00CB27C8" w:rsidRPr="574B343F">
        <w:t xml:space="preserve"> poskytne dodatečné informace všem </w:t>
      </w:r>
      <w:r w:rsidR="00CB27C8" w:rsidRPr="00D94A53">
        <w:t xml:space="preserve">vyzvaným dodavatelům a dalším možným dodavatelům </w:t>
      </w:r>
      <w:r w:rsidR="31900F83">
        <w:t>v rámci tohoto postupu</w:t>
      </w:r>
      <w:r w:rsidR="00CB27C8">
        <w:t>.</w:t>
      </w:r>
      <w:r w:rsidR="00CB27C8" w:rsidRPr="00D94A53">
        <w:t xml:space="preserve"> K poskytnutí dodatečných informací za Zadavatele je pověřen Ing. Soňa Raszková. </w:t>
      </w:r>
    </w:p>
    <w:p w14:paraId="30F99ACC" w14:textId="77777777" w:rsidR="001E400F" w:rsidRPr="00D94A53" w:rsidRDefault="001E400F" w:rsidP="006E3D7D"/>
    <w:p w14:paraId="72B45627" w14:textId="3222B7B0" w:rsidR="001E400F" w:rsidRPr="00DF3565" w:rsidRDefault="63145A90" w:rsidP="006E3D7D">
      <w:r w:rsidRPr="00717CCF">
        <w:t>V Brně dne</w:t>
      </w:r>
      <w:r w:rsidR="00717CCF" w:rsidRPr="00717CCF">
        <w:t xml:space="preserve"> </w:t>
      </w:r>
      <w:r w:rsidR="7A204ADF">
        <w:t>7</w:t>
      </w:r>
      <w:r w:rsidR="00717CCF" w:rsidRPr="00717CCF">
        <w:t>.</w:t>
      </w:r>
      <w:r w:rsidR="005D0C78">
        <w:t xml:space="preserve"> 5</w:t>
      </w:r>
      <w:r w:rsidR="00717CCF" w:rsidRPr="00717CCF">
        <w:t>.</w:t>
      </w:r>
      <w:r w:rsidR="005D0C78">
        <w:t xml:space="preserve"> </w:t>
      </w:r>
      <w:r w:rsidR="00717CCF" w:rsidRPr="00717CCF">
        <w:t>202</w:t>
      </w:r>
      <w:r w:rsidR="005D0C78">
        <w:t>5</w:t>
      </w:r>
    </w:p>
    <w:p w14:paraId="0B5A1267" w14:textId="77777777" w:rsidR="001E400F" w:rsidRDefault="001E400F" w:rsidP="006E3D7D">
      <w:pPr>
        <w:rPr>
          <w:highlight w:val="yellow"/>
        </w:rPr>
      </w:pPr>
    </w:p>
    <w:p w14:paraId="1980B331" w14:textId="77777777" w:rsidR="00417C48" w:rsidRDefault="00417C48" w:rsidP="006E3D7D">
      <w:pPr>
        <w:rPr>
          <w:highlight w:val="yellow"/>
        </w:rPr>
      </w:pPr>
    </w:p>
    <w:p w14:paraId="02771C7F" w14:textId="77777777" w:rsidR="00AA0997" w:rsidRDefault="00AA0997" w:rsidP="006E3D7D">
      <w:pPr>
        <w:rPr>
          <w:highlight w:val="yellow"/>
        </w:rPr>
      </w:pPr>
    </w:p>
    <w:p w14:paraId="2E8CD52E" w14:textId="77777777" w:rsidR="002C0388" w:rsidRPr="007C354A" w:rsidRDefault="002C0388" w:rsidP="007C354A">
      <w:pPr>
        <w:ind w:left="5400" w:firstLine="132"/>
        <w:jc w:val="center"/>
        <w:rPr>
          <w:sz w:val="20"/>
          <w:szCs w:val="20"/>
        </w:rPr>
      </w:pPr>
      <w:r w:rsidRPr="00A540D7">
        <w:t>……………………………….</w:t>
      </w:r>
    </w:p>
    <w:p w14:paraId="6BDB2385" w14:textId="77777777" w:rsidR="00457805" w:rsidRDefault="00457805" w:rsidP="00457805">
      <w:pPr>
        <w:ind w:left="5532" w:firstLine="132"/>
        <w:jc w:val="center"/>
      </w:pPr>
      <w:r>
        <w:t>Mgr. František Kubeš</w:t>
      </w:r>
      <w:r w:rsidR="00406FA2">
        <w:t>, Ph.D.</w:t>
      </w:r>
    </w:p>
    <w:p w14:paraId="50EEA60B" w14:textId="77777777" w:rsidR="00457805" w:rsidRDefault="00457805" w:rsidP="00457805">
      <w:pPr>
        <w:ind w:left="5532" w:firstLine="132"/>
        <w:jc w:val="center"/>
      </w:pPr>
      <w:r>
        <w:t>vedoucí Odboru strategického rozvoje a spolupráce</w:t>
      </w:r>
      <w:r w:rsidR="00FC7DCF">
        <w:t xml:space="preserve"> MMB</w:t>
      </w:r>
    </w:p>
    <w:p w14:paraId="2C955847" w14:textId="77777777" w:rsidR="00A85FD8" w:rsidRDefault="00A85FD8" w:rsidP="006E3D7D">
      <w:pPr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rPr>
          <w:b/>
        </w:rPr>
      </w:pPr>
    </w:p>
    <w:p w14:paraId="21671AA2" w14:textId="77777777" w:rsidR="0008233E" w:rsidRDefault="0008233E" w:rsidP="006E3D7D">
      <w:pPr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rPr>
          <w:b/>
        </w:rPr>
      </w:pPr>
    </w:p>
    <w:p w14:paraId="0E711730" w14:textId="68CED519" w:rsidR="6DD239EE" w:rsidRDefault="6DD239EE" w:rsidP="6DD239EE">
      <w:pPr>
        <w:tabs>
          <w:tab w:val="left" w:pos="1701"/>
          <w:tab w:val="left" w:pos="6237"/>
          <w:tab w:val="left" w:pos="7513"/>
        </w:tabs>
        <w:rPr>
          <w:b/>
          <w:bCs/>
        </w:rPr>
      </w:pPr>
    </w:p>
    <w:p w14:paraId="7868648C" w14:textId="6AF3AE00" w:rsidR="001E400F" w:rsidRPr="00700332" w:rsidRDefault="00D73DF0" w:rsidP="006E3D7D">
      <w:pPr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rPr>
          <w:b/>
        </w:rPr>
      </w:pPr>
      <w:r w:rsidRPr="00700332">
        <w:rPr>
          <w:b/>
        </w:rPr>
        <w:t>P</w:t>
      </w:r>
      <w:r w:rsidR="001E400F" w:rsidRPr="00700332">
        <w:rPr>
          <w:b/>
        </w:rPr>
        <w:t>řílohy:</w:t>
      </w:r>
    </w:p>
    <w:p w14:paraId="2F448A23" w14:textId="06810AF5" w:rsidR="00DB6A5D" w:rsidRDefault="001E400F" w:rsidP="00DB6A5D">
      <w:pPr>
        <w:overflowPunct w:val="0"/>
        <w:autoSpaceDE w:val="0"/>
        <w:autoSpaceDN w:val="0"/>
        <w:adjustRightInd w:val="0"/>
        <w:ind w:left="1418" w:hanging="1418"/>
      </w:pPr>
      <w:r w:rsidRPr="00DB67FD">
        <w:t>Příloha č. 1:</w:t>
      </w:r>
      <w:r w:rsidRPr="00DB67FD">
        <w:tab/>
      </w:r>
      <w:r w:rsidR="00DB6A5D">
        <w:t>Komunikační strategie</w:t>
      </w:r>
    </w:p>
    <w:p w14:paraId="5FBCA1C4" w14:textId="355E1A27" w:rsidR="00DB6A5D" w:rsidRPr="00DB67FD" w:rsidRDefault="00DB6A5D" w:rsidP="00DB6A5D">
      <w:pPr>
        <w:overflowPunct w:val="0"/>
        <w:autoSpaceDE w:val="0"/>
        <w:autoSpaceDN w:val="0"/>
        <w:adjustRightInd w:val="0"/>
        <w:ind w:left="1418" w:hanging="1418"/>
      </w:pPr>
      <w:r w:rsidRPr="00DB67FD">
        <w:t xml:space="preserve">Příloha č. </w:t>
      </w:r>
      <w:r>
        <w:t>2</w:t>
      </w:r>
      <w:r w:rsidRPr="00DB67FD">
        <w:t>:</w:t>
      </w:r>
      <w:r w:rsidRPr="00DB67FD">
        <w:tab/>
      </w:r>
      <w:r>
        <w:t>Předmět zakázky</w:t>
      </w:r>
    </w:p>
    <w:p w14:paraId="35D93426" w14:textId="7ABA7087" w:rsidR="003C5FCB" w:rsidRPr="00AC271C" w:rsidRDefault="003C5FCB" w:rsidP="00E86055">
      <w:pPr>
        <w:overflowPunct w:val="0"/>
        <w:autoSpaceDE w:val="0"/>
        <w:autoSpaceDN w:val="0"/>
        <w:adjustRightInd w:val="0"/>
      </w:pPr>
      <w:r w:rsidRPr="00AC271C">
        <w:t xml:space="preserve">Příloha č. </w:t>
      </w:r>
      <w:r w:rsidR="00DB6A5D">
        <w:t>3</w:t>
      </w:r>
      <w:r w:rsidRPr="00AC271C">
        <w:t>:</w:t>
      </w:r>
      <w:r w:rsidRPr="00AC271C">
        <w:tab/>
      </w:r>
      <w:r w:rsidR="006F4E73" w:rsidRPr="00AC271C">
        <w:t xml:space="preserve">Krycí list nabídky </w:t>
      </w:r>
    </w:p>
    <w:p w14:paraId="08F13A92" w14:textId="76196056" w:rsidR="00DD6BBA" w:rsidRDefault="006F4E73" w:rsidP="006E3D7D">
      <w:pPr>
        <w:ind w:left="1418" w:hanging="1418"/>
      </w:pPr>
      <w:r w:rsidRPr="00AC271C">
        <w:t xml:space="preserve">Příloha č. </w:t>
      </w:r>
      <w:r w:rsidR="00DB6A5D">
        <w:t>4</w:t>
      </w:r>
      <w:r w:rsidRPr="00AC271C">
        <w:t>:</w:t>
      </w:r>
      <w:r w:rsidRPr="00AC271C">
        <w:tab/>
        <w:t>Obchodní podmínky – vzor smlouvy</w:t>
      </w:r>
    </w:p>
    <w:p w14:paraId="34D1A19C" w14:textId="619097BF" w:rsidR="0010646A" w:rsidRPr="00874FC2" w:rsidRDefault="00631725" w:rsidP="0010646A">
      <w:pPr>
        <w:ind w:left="1418" w:hanging="1418"/>
        <w:rPr>
          <w:b/>
          <w:bCs/>
          <w:iCs/>
        </w:rPr>
      </w:pPr>
      <w:r>
        <w:t xml:space="preserve">Příloha č. </w:t>
      </w:r>
      <w:r w:rsidR="00DB6A5D">
        <w:t>5</w:t>
      </w:r>
      <w:r>
        <w:t>:</w:t>
      </w:r>
      <w:r>
        <w:tab/>
      </w:r>
      <w:r w:rsidR="0010646A" w:rsidRPr="00874FC2">
        <w:rPr>
          <w:iCs/>
        </w:rPr>
        <w:t>Technické požadavky na pořízení nových, případně úpravu stávajících webových stránek a aplikací</w:t>
      </w:r>
    </w:p>
    <w:p w14:paraId="1435F0C6" w14:textId="6931BDCD" w:rsidR="00A6383C" w:rsidRDefault="00DD6BBA" w:rsidP="0010646A">
      <w:pPr>
        <w:ind w:left="1418" w:hanging="1418"/>
        <w:sectPr w:rsidR="00A6383C" w:rsidSect="00E02460">
          <w:headerReference w:type="default" r:id="rId16"/>
          <w:footerReference w:type="even" r:id="rId17"/>
          <w:foot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0ECCCD7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Komunikační strategie propagace nástroje ITI a metropolitní spolupráce </w:t>
      </w:r>
    </w:p>
    <w:p w14:paraId="61F2A94A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7"/>
          <w:szCs w:val="17"/>
        </w:rPr>
      </w:pPr>
    </w:p>
    <w:p w14:paraId="3555670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Zadání OPTP 5: </w:t>
      </w:r>
      <w:r>
        <w:rPr>
          <w:i/>
          <w:color w:val="000000"/>
          <w:sz w:val="22"/>
          <w:szCs w:val="22"/>
        </w:rPr>
        <w:t xml:space="preserve">Definice cílových skupin a nastavení komunikačních cílů, aktivit, materiálů a kanálů na úrovni společné publicity (nad nositeli ITI). Tato činnost vytyčuje efektivní propagaci nástroje ITI a metropolitní spolupráce na úrovni společné publicity. Cílem je zajistit konzistentní a cílenou komunikaci napříč všemi zúčastněnými subjekty a dosáhnout maximálního povědomí o nástroji ITI a jeho přínosech. Část strategie se bude zaměřovat na definování vhodných sociálních sítí sloužící k propagaci nástroje ITI a metropolitní spolupráce reflektující požadavky na zohlednění cílových skupin a komunikačních cílů. Důležitou součástí strategie bude také monitoring a vyhodnocování účinnosti </w:t>
      </w:r>
      <w:r w:rsidRPr="00D10164">
        <w:rPr>
          <w:i/>
          <w:color w:val="000000"/>
          <w:sz w:val="22"/>
          <w:szCs w:val="22"/>
        </w:rPr>
        <w:t>stanov</w:t>
      </w:r>
      <w:r>
        <w:rPr>
          <w:i/>
          <w:color w:val="000000"/>
          <w:sz w:val="22"/>
          <w:szCs w:val="22"/>
        </w:rPr>
        <w:t>en</w:t>
      </w:r>
      <w:r w:rsidRPr="00D10164">
        <w:rPr>
          <w:i/>
          <w:color w:val="000000"/>
          <w:sz w:val="22"/>
          <w:szCs w:val="22"/>
        </w:rPr>
        <w:t>ých</w:t>
      </w:r>
      <w:r>
        <w:rPr>
          <w:i/>
          <w:color w:val="000000"/>
          <w:sz w:val="22"/>
          <w:szCs w:val="22"/>
        </w:rPr>
        <w:t xml:space="preserve"> komunikačních cílů. </w:t>
      </w:r>
    </w:p>
    <w:p w14:paraId="285E6E02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7"/>
          <w:szCs w:val="17"/>
        </w:rPr>
      </w:pPr>
    </w:p>
    <w:p w14:paraId="49AEFCD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Kontext a základní předpoklady </w:t>
      </w:r>
    </w:p>
    <w:p w14:paraId="5927CF0D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</w:p>
    <w:p w14:paraId="673F0FF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Nástroj integrovaných územních investic (ITI) </w:t>
      </w:r>
      <w:proofErr w:type="gramStart"/>
      <w:r>
        <w:rPr>
          <w:color w:val="000000"/>
          <w:sz w:val="22"/>
          <w:szCs w:val="22"/>
        </w:rPr>
        <w:t>slouží</w:t>
      </w:r>
      <w:proofErr w:type="gramEnd"/>
      <w:r>
        <w:rPr>
          <w:color w:val="000000"/>
          <w:sz w:val="22"/>
          <w:szCs w:val="22"/>
        </w:rPr>
        <w:t xml:space="preserve"> k efektivnímu vynakládání evropských prostředků a vede ke koordinaci investičních i neinvestičních </w:t>
      </w:r>
      <w:r w:rsidRPr="00D10164">
        <w:rPr>
          <w:color w:val="000000"/>
          <w:sz w:val="22"/>
          <w:szCs w:val="22"/>
        </w:rPr>
        <w:t>aktivit, kter</w:t>
      </w:r>
      <w:r>
        <w:rPr>
          <w:color w:val="000000"/>
          <w:sz w:val="22"/>
          <w:szCs w:val="22"/>
        </w:rPr>
        <w:t>é</w:t>
      </w:r>
      <w:r w:rsidRPr="00D10164">
        <w:rPr>
          <w:color w:val="000000"/>
          <w:sz w:val="22"/>
          <w:szCs w:val="22"/>
        </w:rPr>
        <w:t xml:space="preserve"> napomáha</w:t>
      </w:r>
      <w:r>
        <w:rPr>
          <w:color w:val="000000"/>
          <w:sz w:val="22"/>
          <w:szCs w:val="22"/>
        </w:rPr>
        <w:t>jí překonat stávající územní fragmentaci. Díky propojení nejrůznějších aktérů v území lze lépe plánovat a realizovat integrované projekty, efektivněji využívat finanční zdroje a podporovat udržitelný rozvoj metropolitních oblastí a aglomerací v ČR (MO/A). Je třeba přínosy nástroje ITI deklarovat na zcela jasných a konkrétních příkladech. Souběžně vyvstává potřeba komunikačně sdílet postupy a příklady dobré praxe v souvislosti se strategickým plánováním na úrovni MO/A, které jsou v zájmu České republiky a přispívají k posilování její konkurenceschopnosti</w:t>
      </w:r>
    </w:p>
    <w:p w14:paraId="79548CA9" w14:textId="77777777" w:rsidR="00E80B3C" w:rsidRPr="00D10164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17"/>
          <w:szCs w:val="17"/>
        </w:rPr>
      </w:pPr>
    </w:p>
    <w:p w14:paraId="3BA51AFE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Cílové skupiny</w:t>
      </w:r>
    </w:p>
    <w:p w14:paraId="480955D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92E2112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Primární cílové skupiny:</w:t>
      </w:r>
    </w:p>
    <w:p w14:paraId="69B789D3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Zástupci veřejné správy </w:t>
      </w:r>
    </w:p>
    <w:p w14:paraId="412F5F22" w14:textId="77777777" w:rsidR="00E80B3C" w:rsidRDefault="00E80B3C" w:rsidP="00C9160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Politici na úrovni obcí, měst, krajů a ČR – starostové, primátoři a členové zastupitelstev měst a obcí, zejména v metropolitních oblastech a aglomeracích, kteří mohou být potenciálními žadateli a podporovat metropolitní spolupráci. Dále hejtmani krajů, členové krajských zastupitelstev, ministři a členové poslanecké sněmovny a senátu ČR jako ti, kteří apelují na aktivní využívání nástroje ITI a podporují metropolitní spolupráci.</w:t>
      </w:r>
    </w:p>
    <w:p w14:paraId="51618261" w14:textId="77777777" w:rsidR="00E80B3C" w:rsidRDefault="00E80B3C" w:rsidP="00C9160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Úředníci obcí, měst, mikroregionů, krajů, ministerstev a jimi zřízených organizací v ČR – experti v sektorech, kterými se nástroj ITI zabývá (doprava, životní prostředí, sociální služby, vzdělání aj.) opět jako potenciální žadatelé.</w:t>
      </w:r>
    </w:p>
    <w:p w14:paraId="24D393B7" w14:textId="77777777" w:rsidR="00E80B3C" w:rsidRDefault="00E80B3C" w:rsidP="00E80B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Akademická sféra v ČR – experti z univerzit věnující se dané problematice nebo reprezentanti univerzit (rektoři), kteří mohou ovlivňovat pohled na metropolitní spolupráci a motivovat k aktivnímu využívání nástroje ITI.</w:t>
      </w:r>
    </w:p>
    <w:p w14:paraId="63D68A1A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Zástupci podnikatelského a hospodářského sektoru v ČR – zástupci firem, developerských společností, které mají vliv na rozvoj ČR a investují do infrastruktury a územního rozvoje. Konzultační firmy, poradenské agentury a Hospodářská komora. Tito aktéři představují potenciální žadatele. </w:t>
      </w:r>
    </w:p>
    <w:p w14:paraId="387CF13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Zástupci neziskového sektoru v ČR – tj. zástupci neziskových organizací v ČR, kteří rovněž mohou být potenciálními žadateli.  </w:t>
      </w:r>
    </w:p>
    <w:p w14:paraId="2C3FC3A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25416EE7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Sekundární cílové skupiny</w:t>
      </w:r>
    </w:p>
    <w:p w14:paraId="5A486537" w14:textId="77777777" w:rsidR="00E80B3C" w:rsidRDefault="00E80B3C" w:rsidP="00C9160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Média a komunikační specialisté – regionální a národní tisk, zástupci odborných časopisů</w:t>
      </w:r>
    </w:p>
    <w:p w14:paraId="265FCBE5" w14:textId="77777777" w:rsidR="00E80B3C" w:rsidRPr="00BE7375" w:rsidRDefault="00E80B3C" w:rsidP="00C9160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Zahraniční stakeholdeři – instituce Evropské unie, především Generální ředitelství pro regionální a městskou politiku, Generální ředitelství pro strukturální reformy, Generální ředitelst</w:t>
      </w:r>
      <w:r>
        <w:rPr>
          <w:sz w:val="22"/>
          <w:szCs w:val="22"/>
        </w:rPr>
        <w:t>ví pro rozpočet a další</w:t>
      </w:r>
      <w:r>
        <w:rPr>
          <w:color w:val="000000"/>
          <w:sz w:val="22"/>
          <w:szCs w:val="22"/>
        </w:rPr>
        <w:t>, Evropský výbor regionů, Evropský parlame</w:t>
      </w:r>
      <w:r>
        <w:rPr>
          <w:sz w:val="22"/>
          <w:szCs w:val="22"/>
        </w:rPr>
        <w:t>nt a jeho příslušné výbory</w:t>
      </w:r>
      <w:r>
        <w:rPr>
          <w:color w:val="000000"/>
          <w:sz w:val="22"/>
          <w:szCs w:val="22"/>
        </w:rPr>
        <w:t xml:space="preserve"> apod.</w:t>
      </w:r>
    </w:p>
    <w:p w14:paraId="441DCCA9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4641394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Sdělení komunikace:</w:t>
      </w:r>
    </w:p>
    <w:p w14:paraId="4F3F1004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 cílovým skupinám budou komunikovány mj. přímé i nepřímé výhody využívání nástroje integrovaných územních investic, integrovaného přístupu a metropolitní spolupráce. Bude se jednat například o výhody spolupráce měst a obcí v rámci metropolitních oblastí a aglomerací, prezentaci realizovaných integrovaných řešení a </w:t>
      </w:r>
      <w:r w:rsidRPr="001937A1">
        <w:rPr>
          <w:color w:val="000000"/>
          <w:sz w:val="22"/>
          <w:szCs w:val="22"/>
        </w:rPr>
        <w:t>budou sdílena vybraná analytická data za metropolitní</w:t>
      </w:r>
      <w:r>
        <w:rPr>
          <w:color w:val="000000"/>
          <w:sz w:val="22"/>
          <w:szCs w:val="22"/>
        </w:rPr>
        <w:t xml:space="preserve"> oblasti a aglomerace ČR. </w:t>
      </w:r>
    </w:p>
    <w:p w14:paraId="41563E4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249FCE9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Cílová skupina si bude vědoma přínosů nástroje ITI a metropolitní spolupráce a bude vnímat, že je výhodné aktivně hledat a využívat nástroje umožňující systematickou podporu rozvoje MO/A v ČR. </w:t>
      </w:r>
    </w:p>
    <w:p w14:paraId="21C50B17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F47267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Komunikační cíle</w:t>
      </w:r>
    </w:p>
    <w:p w14:paraId="079C0E3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</w:p>
    <w:p w14:paraId="08D9D2B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Zvýšení povědomí o metropolitní spolupráci, nástroji ITI a jeho přínosech</w:t>
      </w:r>
    </w:p>
    <w:p w14:paraId="27754039" w14:textId="77777777" w:rsidR="00E80B3C" w:rsidRPr="001937A1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>Cílí na všechny vymezené cílové skupiny.</w:t>
      </w:r>
    </w:p>
    <w:p w14:paraId="582D95B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Zvýšit informovanost a prohloubit zájem o nástroj integrovaných územních investic, který umožňuje komplexní strategické plánování a financování integrovaných projektů v území MO/A. Vysvětlit přínosy metropolitní spolupráce a integrovaného přístupu. Dílčím cílem bude překonat předsudky a negativní konotace spojené s ITI. </w:t>
      </w:r>
    </w:p>
    <w:p w14:paraId="67D53A23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7A24347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Konkrétní opatření: </w:t>
      </w:r>
    </w:p>
    <w:p w14:paraId="59FCCA2F" w14:textId="77777777" w:rsidR="00E80B3C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Zajištění konzistentní komunikace prostřednictvím webových stránek, sociálních sítí a tištěných materiálů.</w:t>
      </w:r>
    </w:p>
    <w:p w14:paraId="51E56615" w14:textId="77777777" w:rsidR="00E80B3C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Sdílení pozitivních výsledků a úspěšných projektů prostřednictvím webové stránky a sociálních sítí.</w:t>
      </w:r>
    </w:p>
    <w:p w14:paraId="688A1AE1" w14:textId="77777777" w:rsidR="00E80B3C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Zapojení stakeholderů do veřejných diskusí a odborných akcí.</w:t>
      </w:r>
    </w:p>
    <w:p w14:paraId="15360F1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276" w:lineRule="auto"/>
        <w:ind w:left="709" w:hanging="142"/>
        <w:rPr>
          <w:color w:val="000000"/>
          <w:sz w:val="22"/>
          <w:szCs w:val="22"/>
        </w:rPr>
      </w:pPr>
    </w:p>
    <w:p w14:paraId="55EEC28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Podpora zapojení odborné veřejnosti do využívání nástroje ITI</w:t>
      </w:r>
    </w:p>
    <w:p w14:paraId="43A9533D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Cílí na cílové skupiny Zástupci veřejné správy, Zástupci podnikatelského a hospodářského sektoru a Zástupci neziskového sektoru. </w:t>
      </w:r>
    </w:p>
    <w:p w14:paraId="51EB2CB7" w14:textId="77777777" w:rsidR="00E80B3C" w:rsidRPr="001937A1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461F555A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Motivovat aktéry z veřejné správy, firem a neziskového sektoru k aktivnímu využívání nástroje integrovaných územních investic. Zajištění toho, aby odborná veřejnost rozuměla výhodám metropolitní spolupráce a nástroje ITI.</w:t>
      </w:r>
    </w:p>
    <w:p w14:paraId="3B1A349D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7761397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Konkrétní opatření:</w:t>
      </w:r>
    </w:p>
    <w:p w14:paraId="67E72AB4" w14:textId="77777777" w:rsidR="00E80B3C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Organizace národního fóra a mezinárodní konference k problematice rozvoje MO/A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propagaci nástroje integrovaných územních investic na úrovni MO/A.</w:t>
      </w:r>
    </w:p>
    <w:p w14:paraId="2A5E2185" w14:textId="77777777" w:rsidR="00E80B3C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Tvorba srozumitelných a přístupných materiálů vysvětlujících principy ITI.</w:t>
      </w:r>
    </w:p>
    <w:p w14:paraId="7838B4E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32809D4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Posílení politické a institucionální podpory nástroje ITI a metropolitní spolupráce</w:t>
      </w:r>
    </w:p>
    <w:p w14:paraId="0B1E1F16" w14:textId="77777777" w:rsidR="00E80B3C" w:rsidRPr="001937A1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Cílí na cílovou skupinu Zástupci veřejné správy (zejména podskupina </w:t>
      </w:r>
      <w:r w:rsidRPr="001937A1">
        <w:rPr>
          <w:i/>
          <w:iCs/>
          <w:color w:val="000000"/>
          <w:sz w:val="22"/>
          <w:szCs w:val="22"/>
        </w:rPr>
        <w:t>Politici na úrovni obcí, měst, krajů a ČR</w:t>
      </w:r>
      <w:r>
        <w:rPr>
          <w:i/>
          <w:iCs/>
          <w:color w:val="000000"/>
          <w:sz w:val="22"/>
          <w:szCs w:val="22"/>
        </w:rPr>
        <w:t xml:space="preserve">). </w:t>
      </w:r>
    </w:p>
    <w:p w14:paraId="1D9B394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Prezentovat ITI jako nástroj podporující synergie v oblasti </w:t>
      </w:r>
      <w:sdt>
        <w:sdtPr>
          <w:tag w:val="goog_rdk_0"/>
          <w:id w:val="-113910522"/>
        </w:sdtPr>
        <w:sdtContent/>
      </w:sdt>
      <w:sdt>
        <w:sdtPr>
          <w:tag w:val="goog_rdk_1"/>
          <w:id w:val="-1506052487"/>
        </w:sdtPr>
        <w:sdtContent/>
      </w:sdt>
      <w:r>
        <w:rPr>
          <w:color w:val="000000"/>
          <w:sz w:val="22"/>
          <w:szCs w:val="22"/>
        </w:rPr>
        <w:t xml:space="preserve">strategického plánování. Získat silnější podporu nástroje ITI ze strany politických reprezentantů na místní, regionální i národní úrovni. </w:t>
      </w:r>
    </w:p>
    <w:p w14:paraId="66F0372C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2881748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</w:p>
    <w:p w14:paraId="0960BF02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Konkrétní opatření: </w:t>
      </w:r>
    </w:p>
    <w:p w14:paraId="5F8C6047" w14:textId="77777777" w:rsidR="00E80B3C" w:rsidRPr="001937A1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1937A1">
        <w:rPr>
          <w:color w:val="000000"/>
          <w:sz w:val="22"/>
          <w:szCs w:val="22"/>
        </w:rPr>
        <w:t xml:space="preserve">Aktivní </w:t>
      </w:r>
      <w:proofErr w:type="spellStart"/>
      <w:r w:rsidRPr="001937A1">
        <w:rPr>
          <w:color w:val="000000"/>
          <w:sz w:val="22"/>
          <w:szCs w:val="22"/>
        </w:rPr>
        <w:t>lobbying</w:t>
      </w:r>
      <w:proofErr w:type="spellEnd"/>
      <w:r w:rsidRPr="001937A1">
        <w:rPr>
          <w:color w:val="000000"/>
          <w:sz w:val="22"/>
          <w:szCs w:val="22"/>
        </w:rPr>
        <w:t xml:space="preserve"> mezi zástupci ministerstev, krajů a měst a parlamentu ČR.</w:t>
      </w:r>
    </w:p>
    <w:p w14:paraId="2756789C" w14:textId="77777777" w:rsidR="00E80B3C" w:rsidRPr="001937A1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1937A1">
        <w:rPr>
          <w:color w:val="000000"/>
          <w:sz w:val="22"/>
          <w:szCs w:val="22"/>
        </w:rPr>
        <w:t>Zdůraznění ekonomických a strategických výhod metropolitní spolupráce.</w:t>
      </w:r>
    </w:p>
    <w:p w14:paraId="3B5DB2F7" w14:textId="77777777" w:rsidR="00E80B3C" w:rsidRPr="001937A1" w:rsidRDefault="00E80B3C" w:rsidP="00C9160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1937A1">
        <w:rPr>
          <w:color w:val="000000"/>
          <w:sz w:val="22"/>
          <w:szCs w:val="22"/>
        </w:rPr>
        <w:t>Zapojení politických lídrů jako ambasadorů úspěšných projektů.</w:t>
      </w:r>
    </w:p>
    <w:p w14:paraId="14A793B6" w14:textId="77777777" w:rsidR="00E80B3C" w:rsidRDefault="00E80B3C" w:rsidP="00E80B3C">
      <w:pPr>
        <w:spacing w:line="276" w:lineRule="auto"/>
        <w:rPr>
          <w:sz w:val="28"/>
          <w:szCs w:val="28"/>
        </w:rPr>
      </w:pPr>
    </w:p>
    <w:p w14:paraId="7BDA68C2" w14:textId="77777777" w:rsidR="00E80B3C" w:rsidRDefault="00E80B3C" w:rsidP="00E80B3C">
      <w:pPr>
        <w:spacing w:line="276" w:lineRule="auto"/>
        <w:rPr>
          <w:b/>
          <w:sz w:val="26"/>
          <w:szCs w:val="26"/>
          <w:u w:val="single"/>
        </w:rPr>
      </w:pPr>
      <w:bookmarkStart w:id="3" w:name="_Hlk194498863"/>
      <w:bookmarkStart w:id="4" w:name="_Hlk194496383"/>
      <w:r>
        <w:rPr>
          <w:b/>
          <w:sz w:val="26"/>
          <w:szCs w:val="26"/>
          <w:u w:val="single"/>
        </w:rPr>
        <w:t>Klíčové aktivity a vymezení sociálních kanálů</w:t>
      </w:r>
    </w:p>
    <w:p w14:paraId="04F1CACC" w14:textId="77777777" w:rsidR="00E80B3C" w:rsidRDefault="00E80B3C" w:rsidP="00E80B3C">
      <w:pPr>
        <w:spacing w:line="276" w:lineRule="auto"/>
        <w:rPr>
          <w:b/>
          <w:sz w:val="22"/>
          <w:szCs w:val="22"/>
          <w:u w:val="single"/>
        </w:rPr>
      </w:pPr>
    </w:p>
    <w:p w14:paraId="4AFDB260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1.Digitální a online komunikace</w:t>
      </w:r>
    </w:p>
    <w:p w14:paraId="01B0E48C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7A3C6FE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Webová stránka </w:t>
      </w:r>
    </w:p>
    <w:p w14:paraId="7B9DCEBA" w14:textId="77777777" w:rsidR="00E80B3C" w:rsidRDefault="00E80B3C" w:rsidP="00C916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7E4DB5">
        <w:rPr>
          <w:color w:val="000000"/>
          <w:sz w:val="22"/>
          <w:szCs w:val="22"/>
        </w:rPr>
        <w:t xml:space="preserve">Vytvoření </w:t>
      </w:r>
      <w:r w:rsidRPr="0005148D">
        <w:rPr>
          <w:color w:val="000000"/>
          <w:sz w:val="22"/>
          <w:szCs w:val="22"/>
        </w:rPr>
        <w:t>části webové microsite Územní dimenze patřící MMR</w:t>
      </w:r>
      <w:r w:rsidRPr="007E4DB5">
        <w:rPr>
          <w:color w:val="000000"/>
          <w:sz w:val="22"/>
          <w:szCs w:val="22"/>
        </w:rPr>
        <w:t>, kde</w:t>
      </w:r>
      <w:r>
        <w:rPr>
          <w:color w:val="000000"/>
          <w:sz w:val="22"/>
          <w:szCs w:val="22"/>
        </w:rPr>
        <w:t xml:space="preserve"> budou dostupné informace o nástroji ITI, integrovaném přístupu a jeho výhodách, data reflektující význam metropolitních oblastí a aglomerací, případové studie jednotlivých MO/A, infografiky a prezentace projektů. Prezentace vytvořeného audiovizuálního obsahu (souhrnné prezentační video + videa jednotlivých integrovaných řešení a MO/A).</w:t>
      </w:r>
    </w:p>
    <w:p w14:paraId="7010B65F" w14:textId="77777777" w:rsidR="00E80B3C" w:rsidRDefault="00E80B3C" w:rsidP="00C916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Optimalizace obsahu pro vyhledávače (SEO) a pravidelná tvorba článků na web.</w:t>
      </w:r>
    </w:p>
    <w:p w14:paraId="4C313DA4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1816A269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Sociální média</w:t>
      </w:r>
    </w:p>
    <w:p w14:paraId="376143DA" w14:textId="77777777" w:rsidR="00E80B3C" w:rsidRDefault="00E80B3C" w:rsidP="00C9160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 komunikaci nástroje ITI a metropolitní spolupráce budou využívány dvě sociální sítě Facebook a LinkedIn. Zároveň bude vy</w:t>
      </w:r>
      <w:r>
        <w:rPr>
          <w:sz w:val="22"/>
          <w:szCs w:val="22"/>
        </w:rPr>
        <w:t xml:space="preserve">tvořen </w:t>
      </w:r>
      <w:proofErr w:type="spellStart"/>
      <w:r>
        <w:rPr>
          <w:sz w:val="22"/>
          <w:szCs w:val="22"/>
        </w:rPr>
        <w:t>Youtube</w:t>
      </w:r>
      <w:proofErr w:type="spellEnd"/>
      <w:r>
        <w:rPr>
          <w:sz w:val="22"/>
          <w:szCs w:val="22"/>
        </w:rPr>
        <w:t xml:space="preserve"> účet pro vkládání videí a krátkých reportáží.</w:t>
      </w:r>
    </w:p>
    <w:p w14:paraId="2974D465" w14:textId="77777777" w:rsidR="00E80B3C" w:rsidRDefault="00E80B3C" w:rsidP="00C9160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Účet na sociální síti Facebook – vytváření příspěvků ohledně jednotlivých MO/A, příkladů dobré praxe, integrovaných projektů. Aktivizační práce s dalšími facebookovými profily jednotlivých MO/A. Prezentace vytvořeného audiovizuálního obsahu (souhrnné prezentační video + videa jednotlivých integrovaných řešení a MO/A).</w:t>
      </w:r>
    </w:p>
    <w:p w14:paraId="0204E423" w14:textId="77777777" w:rsidR="00E80B3C" w:rsidRDefault="00E80B3C" w:rsidP="00C9160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Účet na sociální síti LinkedIn – publikování článků, analýz, příkladů dobré praxe, integrovaných projektů. Cílení především na experty z oblasti územního a strategického rozvoje.</w:t>
      </w:r>
    </w:p>
    <w:p w14:paraId="10B0C419" w14:textId="77777777" w:rsidR="00E80B3C" w:rsidRDefault="00E80B3C" w:rsidP="00C9160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Prezentace vytvořeného audiovizuálního obsahu.</w:t>
      </w:r>
    </w:p>
    <w:p w14:paraId="685F9B1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36CDD869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Newsletter </w:t>
      </w:r>
    </w:p>
    <w:p w14:paraId="11F4152E" w14:textId="77777777" w:rsidR="00E80B3C" w:rsidRDefault="00E80B3C" w:rsidP="00C9160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Čtvrtletní tvorba newsletteru, který bude sdílet připravené články a informace ohledně nástroje ITI, jednotlivých MO/A, analýzách a integrovaných řešení.</w:t>
      </w:r>
    </w:p>
    <w:p w14:paraId="5BDD41CD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Pozn. pro propagaci vybraných sdělení bude využívána placená inzerce. </w:t>
      </w:r>
    </w:p>
    <w:p w14:paraId="5232493C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6E3074FC" w14:textId="77777777" w:rsidR="00E80B3C" w:rsidRPr="007D59F6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 w:rsidRPr="007D59F6">
        <w:rPr>
          <w:b/>
          <w:color w:val="000000"/>
        </w:rPr>
        <w:t>2.</w:t>
      </w:r>
      <w:r>
        <w:rPr>
          <w:b/>
          <w:color w:val="000000"/>
        </w:rPr>
        <w:t xml:space="preserve">  </w:t>
      </w:r>
      <w:r w:rsidRPr="007D59F6">
        <w:rPr>
          <w:b/>
          <w:color w:val="000000"/>
        </w:rPr>
        <w:t>Tradiční mediální komunikace</w:t>
      </w:r>
    </w:p>
    <w:p w14:paraId="5404E0DB" w14:textId="77777777" w:rsidR="00E80B3C" w:rsidRPr="007D59F6" w:rsidRDefault="00E80B3C" w:rsidP="00E80B3C"/>
    <w:p w14:paraId="5A330E6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Tiskové zprávy a články, publikace a brožury</w:t>
      </w:r>
    </w:p>
    <w:p w14:paraId="73BC148D" w14:textId="77777777" w:rsidR="00E80B3C" w:rsidRDefault="00E80B3C" w:rsidP="00C9160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Příprava článků zaměřených na nástroj ITI, integrovaný přístup, představení MO/A, příklady dobré praxe a integrované projekty. Spolupráce s regionálními i národními médii pro zvýšení dosahu a důvěryhodnosti komunikace. Bude zároveň připravena brožura a leták v českém a anglickém jazyce k propagaci nástroje ITI.</w:t>
      </w:r>
    </w:p>
    <w:p w14:paraId="116D5997" w14:textId="77777777" w:rsidR="00E80B3C" w:rsidRDefault="00E80B3C" w:rsidP="00C9160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Pozn. pro propagaci vybraných sdělení bude využívána placená inzerce. </w:t>
      </w:r>
    </w:p>
    <w:p w14:paraId="2B12ACC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2"/>
          <w:szCs w:val="22"/>
        </w:rPr>
      </w:pPr>
    </w:p>
    <w:p w14:paraId="067B2D9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Akce k propagaci nástroje ITI a metropolitní spolupráce</w:t>
      </w:r>
    </w:p>
    <w:p w14:paraId="3E914895" w14:textId="77777777" w:rsidR="00E80B3C" w:rsidRDefault="00E80B3C" w:rsidP="00C9160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Organizace a realizace jedné jednodenní konference s mezinárodní účastí a jednoho národního fóra, zaměřených na propagaci nástroje ITI a podporu metropolitní spolupráce.  </w:t>
      </w:r>
    </w:p>
    <w:p w14:paraId="669A5B96" w14:textId="77777777" w:rsidR="00E80B3C" w:rsidRDefault="00E80B3C" w:rsidP="00C9160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 a prezentace na konferencích směrem ke zvýšení informovanosti ohledně nástroje ITI a prezentace příkladů dobré praxe.</w:t>
      </w:r>
    </w:p>
    <w:p w14:paraId="4AB87311" w14:textId="77777777" w:rsidR="00E80B3C" w:rsidRPr="007D59F6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2"/>
          <w:szCs w:val="22"/>
        </w:rPr>
      </w:pPr>
    </w:p>
    <w:p w14:paraId="21232A65" w14:textId="77777777" w:rsidR="00E80B3C" w:rsidRPr="007D59F6" w:rsidRDefault="00E80B3C" w:rsidP="00C9160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 w:rsidRPr="007D59F6">
        <w:rPr>
          <w:b/>
          <w:color w:val="000000"/>
        </w:rPr>
        <w:t xml:space="preserve">Podpora spolupráce </w:t>
      </w:r>
    </w:p>
    <w:p w14:paraId="5D1E28A6" w14:textId="77777777" w:rsidR="00E80B3C" w:rsidRPr="007D59F6" w:rsidRDefault="00E80B3C" w:rsidP="00E80B3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690A5ED7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Pomoc jednotlivým MO/A při nastavování a tvorbě konkrétních komunikačních aktivit v území a poskytovat jim nezbytné metodické vedení s cílem maximální vyváženosti a jednotné podoby komunikace a publicity za dílčí MO/A. </w:t>
      </w:r>
    </w:p>
    <w:bookmarkEnd w:id="3"/>
    <w:p w14:paraId="4DE5459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6FAB390C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Všechny aktivity budou tvořeny s využitím design manuálu, který bude vytvořen spolu s vizuální identitou v počáteční fázi celého projektu. </w:t>
      </w:r>
    </w:p>
    <w:p w14:paraId="16B86BFC" w14:textId="77777777" w:rsidR="00E80B3C" w:rsidRDefault="00E80B3C" w:rsidP="00E80B3C">
      <w:pPr>
        <w:rPr>
          <w:b/>
          <w:sz w:val="26"/>
          <w:szCs w:val="26"/>
          <w:u w:val="single"/>
        </w:rPr>
      </w:pPr>
    </w:p>
    <w:p w14:paraId="3C13684E" w14:textId="77777777" w:rsidR="00E80B3C" w:rsidRDefault="00E80B3C" w:rsidP="00E80B3C">
      <w:pPr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Realizační plán </w:t>
      </w:r>
    </w:p>
    <w:p w14:paraId="4F95564C" w14:textId="77777777" w:rsidR="00E80B3C" w:rsidRDefault="00E80B3C" w:rsidP="00E80B3C">
      <w:pPr>
        <w:spacing w:line="276" w:lineRule="auto"/>
        <w:rPr>
          <w:b/>
          <w:sz w:val="22"/>
          <w:szCs w:val="22"/>
          <w:u w:val="single"/>
        </w:rPr>
      </w:pPr>
    </w:p>
    <w:p w14:paraId="2F1C72E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Harmonogram aktivit</w:t>
      </w:r>
    </w:p>
    <w:p w14:paraId="71710B3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Krátkodobé cíle (0–6 měsíců):</w:t>
      </w:r>
      <w:r>
        <w:rPr>
          <w:color w:val="000000"/>
          <w:sz w:val="22"/>
          <w:szCs w:val="22"/>
        </w:rPr>
        <w:t xml:space="preserve"> </w:t>
      </w:r>
    </w:p>
    <w:p w14:paraId="18C739A2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Vytvoření design manuálu a vizuální identity</w:t>
      </w:r>
    </w:p>
    <w:p w14:paraId="2DFAC5C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Spuštění webového portálu a aktivace sociálních sítí</w:t>
      </w:r>
    </w:p>
    <w:p w14:paraId="0883546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První kolo článků k problematice nástroje ITI a metropolitní spolupráce </w:t>
      </w:r>
    </w:p>
    <w:p w14:paraId="31495107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Střednědobé cíle (6–12 měsíců):</w:t>
      </w:r>
      <w:r>
        <w:rPr>
          <w:color w:val="000000"/>
          <w:sz w:val="22"/>
          <w:szCs w:val="22"/>
        </w:rPr>
        <w:t xml:space="preserve"> </w:t>
      </w:r>
    </w:p>
    <w:p w14:paraId="64B64512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Posílení online komunity a pravidelná komunikace výhod metropolitní spolupráce, integrovaného přístupu a integrovaných řešení</w:t>
      </w:r>
    </w:p>
    <w:p w14:paraId="3F84A0FA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Národní fórum a mezinárodní konference a tvorba audiovizuálního obsahu</w:t>
      </w:r>
    </w:p>
    <w:p w14:paraId="5E205DB3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Dlouhodobé cíle (12+ měsíců):</w:t>
      </w:r>
      <w:r>
        <w:rPr>
          <w:color w:val="000000"/>
          <w:sz w:val="22"/>
          <w:szCs w:val="22"/>
        </w:rPr>
        <w:t xml:space="preserve"> </w:t>
      </w:r>
    </w:p>
    <w:p w14:paraId="1AB795CA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Udržení kontinuálního dialogu mezi aktéry</w:t>
      </w:r>
    </w:p>
    <w:p w14:paraId="0FFA203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Pravidelná evaluace a optimalizace komunikačních nástrojů dle zpětné vazby</w:t>
      </w:r>
    </w:p>
    <w:p w14:paraId="09B3339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3ACF6F5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Harmonogram ke komunikačním aktivitám </w:t>
      </w:r>
    </w:p>
    <w:p w14:paraId="42EE3E22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(viz projektová žádost _aktualizované)</w:t>
      </w:r>
    </w:p>
    <w:p w14:paraId="48D271AC" w14:textId="77777777" w:rsidR="00E80B3C" w:rsidRDefault="00E80B3C" w:rsidP="00E80B3C">
      <w:pPr>
        <w:spacing w:line="276" w:lineRule="auto"/>
        <w:rPr>
          <w:sz w:val="22"/>
          <w:szCs w:val="22"/>
        </w:rPr>
      </w:pPr>
    </w:p>
    <w:tbl>
      <w:tblPr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625"/>
        <w:gridCol w:w="735"/>
        <w:gridCol w:w="750"/>
        <w:gridCol w:w="750"/>
        <w:gridCol w:w="750"/>
        <w:gridCol w:w="750"/>
        <w:gridCol w:w="750"/>
        <w:gridCol w:w="750"/>
        <w:gridCol w:w="615"/>
      </w:tblGrid>
      <w:tr w:rsidR="00E80B3C" w:rsidRPr="007D59F6" w14:paraId="73704797" w14:textId="77777777" w:rsidTr="00463A00">
        <w:trPr>
          <w:trHeight w:val="585"/>
        </w:trPr>
        <w:tc>
          <w:tcPr>
            <w:tcW w:w="4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FACB9" w14:textId="77777777" w:rsidR="00E80B3C" w:rsidRPr="007D59F6" w:rsidRDefault="00E80B3C" w:rsidP="00FC0838">
            <w:pPr>
              <w:spacing w:before="240" w:line="276" w:lineRule="auto"/>
              <w:jc w:val="both"/>
              <w:rPr>
                <w:b/>
                <w:color w:val="0000FF"/>
                <w:sz w:val="18"/>
                <w:szCs w:val="18"/>
              </w:rPr>
            </w:pPr>
            <w:r w:rsidRPr="007D59F6">
              <w:rPr>
                <w:b/>
                <w:color w:val="0000FF"/>
                <w:sz w:val="18"/>
                <w:szCs w:val="18"/>
              </w:rPr>
              <w:t>č.</w:t>
            </w:r>
          </w:p>
        </w:tc>
        <w:tc>
          <w:tcPr>
            <w:tcW w:w="2625" w:type="dxa"/>
            <w:vMerge w:val="restart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21BDD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b/>
                <w:color w:val="0000FF"/>
                <w:sz w:val="18"/>
                <w:szCs w:val="18"/>
              </w:rPr>
              <w:t>Název aktivity</w:t>
            </w:r>
            <w:r w:rsidRPr="007D59F6">
              <w:rPr>
                <w:color w:val="0000FF"/>
                <w:sz w:val="18"/>
                <w:szCs w:val="18"/>
              </w:rPr>
              <w:t>*</w:t>
            </w:r>
          </w:p>
        </w:tc>
        <w:tc>
          <w:tcPr>
            <w:tcW w:w="223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39AEA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b/>
                <w:color w:val="0000FF"/>
                <w:sz w:val="18"/>
                <w:szCs w:val="18"/>
              </w:rPr>
            </w:pPr>
            <w:r w:rsidRPr="007D59F6">
              <w:rPr>
                <w:b/>
                <w:color w:val="0000FF"/>
                <w:sz w:val="18"/>
                <w:szCs w:val="18"/>
              </w:rPr>
              <w:t>2025</w:t>
            </w:r>
          </w:p>
        </w:tc>
        <w:tc>
          <w:tcPr>
            <w:tcW w:w="300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AF49A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b/>
                <w:color w:val="0000FF"/>
                <w:sz w:val="18"/>
                <w:szCs w:val="18"/>
              </w:rPr>
            </w:pPr>
            <w:r w:rsidRPr="007D59F6">
              <w:rPr>
                <w:b/>
                <w:color w:val="0000FF"/>
                <w:sz w:val="18"/>
                <w:szCs w:val="18"/>
              </w:rPr>
              <w:t>2026</w:t>
            </w:r>
          </w:p>
        </w:tc>
        <w:tc>
          <w:tcPr>
            <w:tcW w:w="6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67982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b/>
                <w:color w:val="0000FF"/>
                <w:sz w:val="18"/>
                <w:szCs w:val="18"/>
              </w:rPr>
            </w:pPr>
            <w:r w:rsidRPr="007D59F6">
              <w:rPr>
                <w:b/>
                <w:color w:val="0000FF"/>
                <w:sz w:val="18"/>
                <w:szCs w:val="18"/>
              </w:rPr>
              <w:t>2027</w:t>
            </w:r>
          </w:p>
        </w:tc>
      </w:tr>
      <w:tr w:rsidR="00E80B3C" w:rsidRPr="007D59F6" w14:paraId="118638F9" w14:textId="77777777" w:rsidTr="00463A00">
        <w:trPr>
          <w:trHeight w:val="510"/>
        </w:trPr>
        <w:tc>
          <w:tcPr>
            <w:tcW w:w="465" w:type="dxa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641E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9AE8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B7F1D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2Q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8444B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3.Q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0B309" w14:textId="77777777" w:rsidR="00E80B3C" w:rsidRPr="007D59F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4.Q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1262E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1.Q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28F3D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2.Q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DEE39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3.Q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C90376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4.Q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677FE" w14:textId="77777777" w:rsidR="00E80B3C" w:rsidRPr="007D59F6" w:rsidRDefault="00E80B3C" w:rsidP="00FC0838">
            <w:pPr>
              <w:spacing w:before="240" w:line="276" w:lineRule="auto"/>
              <w:jc w:val="center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1Q</w:t>
            </w:r>
          </w:p>
        </w:tc>
      </w:tr>
      <w:tr w:rsidR="007C0679" w:rsidRPr="007D59F6" w14:paraId="17D2F49F" w14:textId="77777777" w:rsidTr="00463A00">
        <w:trPr>
          <w:trHeight w:val="283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458EF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4B6AC" w14:textId="77777777" w:rsidR="00E80B3C" w:rsidRPr="007D59F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Realizace a koordinace společné publicity nástroje ITI a metropolitní spolupráce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0A2E6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63729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EDF10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02103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F2C69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77416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D55D1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22D5C" w14:textId="77777777" w:rsidR="00E80B3C" w:rsidRPr="007D59F6" w:rsidRDefault="00E80B3C" w:rsidP="00FC0838">
            <w:pPr>
              <w:spacing w:before="240" w:line="276" w:lineRule="auto"/>
              <w:rPr>
                <w:sz w:val="22"/>
                <w:szCs w:val="22"/>
              </w:rPr>
            </w:pPr>
            <w:r w:rsidRPr="007D59F6">
              <w:rPr>
                <w:sz w:val="22"/>
                <w:szCs w:val="22"/>
              </w:rPr>
              <w:t xml:space="preserve"> </w:t>
            </w:r>
          </w:p>
        </w:tc>
      </w:tr>
      <w:tr w:rsidR="00E80B3C" w:rsidRPr="007D59F6" w14:paraId="08DD030C" w14:textId="77777777" w:rsidTr="00463A00">
        <w:trPr>
          <w:trHeight w:val="283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F3535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E3A1" w14:textId="77777777" w:rsidR="00E80B3C" w:rsidRPr="007D59F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Společná komunikační strategie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18C3A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D66C2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C0A92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E8B08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8A5D2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E430F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F3ACA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F34E4" w14:textId="77777777" w:rsidR="00E80B3C" w:rsidRPr="007D59F6" w:rsidRDefault="00E80B3C" w:rsidP="00FC0838">
            <w:pPr>
              <w:spacing w:before="240" w:line="276" w:lineRule="auto"/>
              <w:rPr>
                <w:sz w:val="22"/>
                <w:szCs w:val="22"/>
              </w:rPr>
            </w:pPr>
            <w:r w:rsidRPr="007D59F6">
              <w:rPr>
                <w:sz w:val="22"/>
                <w:szCs w:val="22"/>
              </w:rPr>
              <w:t xml:space="preserve"> </w:t>
            </w:r>
          </w:p>
        </w:tc>
      </w:tr>
      <w:tr w:rsidR="00E80B3C" w:rsidRPr="007D59F6" w14:paraId="7094220A" w14:textId="77777777" w:rsidTr="00463A00">
        <w:trPr>
          <w:trHeight w:val="283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A8C59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6F384" w14:textId="77777777" w:rsidR="00E80B3C" w:rsidRPr="007D59F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Design manuál a grafické práce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91034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F8177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6A59E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C941D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ADDCD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BBCF7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D321C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848F8" w14:textId="77777777" w:rsidR="00E80B3C" w:rsidRPr="007D59F6" w:rsidRDefault="00E80B3C" w:rsidP="00FC0838">
            <w:pPr>
              <w:spacing w:before="240" w:line="276" w:lineRule="auto"/>
              <w:rPr>
                <w:sz w:val="22"/>
                <w:szCs w:val="22"/>
              </w:rPr>
            </w:pPr>
            <w:r w:rsidRPr="007D59F6">
              <w:rPr>
                <w:sz w:val="22"/>
                <w:szCs w:val="22"/>
              </w:rPr>
              <w:t xml:space="preserve"> </w:t>
            </w:r>
          </w:p>
        </w:tc>
      </w:tr>
      <w:tr w:rsidR="007C0679" w:rsidRPr="007D59F6" w14:paraId="0CEDD157" w14:textId="77777777" w:rsidTr="00463A00">
        <w:trPr>
          <w:trHeight w:val="567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AD290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CE51C" w14:textId="77777777" w:rsidR="00E80B3C" w:rsidRPr="007D59F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Webová stránka a účty na sociálních sítích</w:t>
            </w:r>
          </w:p>
        </w:tc>
        <w:tc>
          <w:tcPr>
            <w:tcW w:w="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E3453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9FCC3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2AFEB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38423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134A3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D5037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B49B0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6BA82" w14:textId="77777777" w:rsidR="00E80B3C" w:rsidRPr="007D59F6" w:rsidRDefault="00E80B3C" w:rsidP="00FC0838">
            <w:pPr>
              <w:spacing w:before="240" w:line="276" w:lineRule="auto"/>
              <w:rPr>
                <w:sz w:val="22"/>
                <w:szCs w:val="22"/>
              </w:rPr>
            </w:pPr>
            <w:r w:rsidRPr="007D59F6">
              <w:rPr>
                <w:sz w:val="22"/>
                <w:szCs w:val="22"/>
              </w:rPr>
              <w:t xml:space="preserve"> </w:t>
            </w:r>
          </w:p>
        </w:tc>
      </w:tr>
      <w:tr w:rsidR="007C0679" w:rsidRPr="007D59F6" w14:paraId="790C6018" w14:textId="77777777" w:rsidTr="00463A00">
        <w:trPr>
          <w:trHeight w:val="283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4AE5B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191ED" w14:textId="77777777" w:rsidR="00E80B3C" w:rsidRPr="007D59F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Audiovizuální obsah pro prezentaci integrovaných řešení a projektů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82C21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1D1B7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750B0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F6FC4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F8767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A1BB0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4FB4B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93A3F" w14:textId="77777777" w:rsidR="00E80B3C" w:rsidRPr="007D59F6" w:rsidRDefault="00E80B3C" w:rsidP="00FC0838">
            <w:pPr>
              <w:spacing w:before="240" w:line="276" w:lineRule="auto"/>
              <w:rPr>
                <w:sz w:val="22"/>
                <w:szCs w:val="22"/>
              </w:rPr>
            </w:pPr>
            <w:r w:rsidRPr="007D59F6">
              <w:rPr>
                <w:sz w:val="22"/>
                <w:szCs w:val="22"/>
              </w:rPr>
              <w:t xml:space="preserve"> </w:t>
            </w:r>
          </w:p>
        </w:tc>
      </w:tr>
      <w:tr w:rsidR="007C0679" w:rsidRPr="007D59F6" w14:paraId="47D9A5C9" w14:textId="77777777" w:rsidTr="00463A00">
        <w:trPr>
          <w:trHeight w:val="283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F776C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54A12" w14:textId="77777777" w:rsidR="00E80B3C" w:rsidRPr="007D59F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Akce k propagaci nástroje ITI a metropolitní spolupráce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7544E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9FDEA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EE215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424EF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9AE7B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76D5D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B69F8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D1920" w14:textId="77777777" w:rsidR="00E80B3C" w:rsidRPr="007D59F6" w:rsidRDefault="00E80B3C" w:rsidP="00FC0838">
            <w:pPr>
              <w:spacing w:before="240" w:line="276" w:lineRule="auto"/>
              <w:rPr>
                <w:sz w:val="22"/>
                <w:szCs w:val="22"/>
              </w:rPr>
            </w:pPr>
            <w:r w:rsidRPr="007D59F6">
              <w:rPr>
                <w:sz w:val="22"/>
                <w:szCs w:val="22"/>
              </w:rPr>
              <w:t xml:space="preserve"> </w:t>
            </w:r>
          </w:p>
        </w:tc>
      </w:tr>
      <w:tr w:rsidR="007C0679" w:rsidRPr="007D59F6" w14:paraId="71CC05CB" w14:textId="77777777" w:rsidTr="00463A00">
        <w:trPr>
          <w:trHeight w:val="683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9DC9A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0A57D" w14:textId="77777777" w:rsidR="00E80B3C" w:rsidRPr="005F72A6" w:rsidRDefault="00E80B3C" w:rsidP="00FC0838">
            <w:pPr>
              <w:spacing w:before="240" w:line="276" w:lineRule="auto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>Placená inzerce, SEO a PPC kampaně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95FF7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33901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ED6FF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AC364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8322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184D9" w14:textId="77777777" w:rsidR="00E80B3C" w:rsidRPr="007D59F6" w:rsidRDefault="00E80B3C" w:rsidP="00FC0838">
            <w:pPr>
              <w:spacing w:before="240" w:line="276" w:lineRule="auto"/>
              <w:jc w:val="both"/>
              <w:rPr>
                <w:color w:val="0000FF"/>
                <w:sz w:val="18"/>
                <w:szCs w:val="18"/>
              </w:rPr>
            </w:pPr>
            <w:r w:rsidRPr="007D59F6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235F9" w14:textId="77777777" w:rsidR="00E80B3C" w:rsidRPr="007D59F6" w:rsidRDefault="00E80B3C" w:rsidP="00FC083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5DCE4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D73B1" w14:textId="77777777" w:rsidR="00E80B3C" w:rsidRPr="007D59F6" w:rsidRDefault="00E80B3C" w:rsidP="00FC0838">
            <w:pPr>
              <w:spacing w:before="240" w:line="276" w:lineRule="auto"/>
              <w:rPr>
                <w:sz w:val="22"/>
                <w:szCs w:val="22"/>
              </w:rPr>
            </w:pPr>
          </w:p>
        </w:tc>
      </w:tr>
      <w:bookmarkEnd w:id="4"/>
    </w:tbl>
    <w:p w14:paraId="3B073B4D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F7ACAD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4C594F1" w14:textId="77777777" w:rsidR="00E80B3C" w:rsidRDefault="00E80B3C" w:rsidP="00E80B3C">
      <w:pPr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Monitoring a vyhodnocování účinnosti komunikačních cílů</w:t>
      </w:r>
    </w:p>
    <w:p w14:paraId="6AEFC9C6" w14:textId="77777777" w:rsidR="00E80B3C" w:rsidRDefault="00E80B3C" w:rsidP="00E80B3C">
      <w:pPr>
        <w:spacing w:line="276" w:lineRule="auto"/>
        <w:rPr>
          <w:b/>
          <w:sz w:val="22"/>
          <w:szCs w:val="22"/>
          <w:u w:val="single"/>
        </w:rPr>
      </w:pPr>
    </w:p>
    <w:p w14:paraId="0C1CA42C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Cíl: Pravidelně sledovat a analyzovat úspěšnost komunikace, identifikovat slabá místa a přizpůsobovat strategii dle získaných dat a zpětné vazby.</w:t>
      </w:r>
    </w:p>
    <w:p w14:paraId="41D2ED8C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53EFEB3A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Kvantitativní metriky:</w:t>
      </w:r>
    </w:p>
    <w:p w14:paraId="361FE1F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Webová analytika – počet návštěvníků webu (100 návštěvníků za týden), doba strávená na stránce (1:30m).</w:t>
      </w:r>
    </w:p>
    <w:p w14:paraId="002CAF07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983299">
        <w:rPr>
          <w:color w:val="000000"/>
          <w:sz w:val="22"/>
          <w:szCs w:val="22"/>
        </w:rPr>
        <w:t>Sociální sítě – počet sledujících (</w:t>
      </w:r>
      <w:r>
        <w:rPr>
          <w:color w:val="000000"/>
          <w:sz w:val="22"/>
          <w:szCs w:val="22"/>
        </w:rPr>
        <w:t>75</w:t>
      </w:r>
      <w:r w:rsidRPr="00983299">
        <w:rPr>
          <w:color w:val="000000"/>
          <w:sz w:val="22"/>
          <w:szCs w:val="22"/>
        </w:rPr>
        <w:t xml:space="preserve"> sledujících do půl roku na F</w:t>
      </w:r>
      <w:r>
        <w:rPr>
          <w:color w:val="000000"/>
          <w:sz w:val="22"/>
          <w:szCs w:val="22"/>
        </w:rPr>
        <w:t>B</w:t>
      </w:r>
      <w:r w:rsidRPr="00983299">
        <w:rPr>
          <w:color w:val="000000"/>
          <w:sz w:val="22"/>
          <w:szCs w:val="22"/>
        </w:rPr>
        <w:t xml:space="preserve">, celkem 150 sledujících do konce projektu, 60 sledujících na </w:t>
      </w:r>
      <w:proofErr w:type="spellStart"/>
      <w:r w:rsidRPr="00983299">
        <w:rPr>
          <w:color w:val="000000"/>
          <w:sz w:val="22"/>
          <w:szCs w:val="22"/>
        </w:rPr>
        <w:t>LinkedInu</w:t>
      </w:r>
      <w:proofErr w:type="spellEnd"/>
      <w:r w:rsidRPr="00983299">
        <w:rPr>
          <w:color w:val="000000"/>
          <w:sz w:val="22"/>
          <w:szCs w:val="22"/>
        </w:rPr>
        <w:t xml:space="preserve"> do půl roku, celkem </w:t>
      </w:r>
      <w:r>
        <w:rPr>
          <w:color w:val="000000"/>
          <w:sz w:val="22"/>
          <w:szCs w:val="22"/>
        </w:rPr>
        <w:t>100</w:t>
      </w:r>
      <w:r w:rsidRPr="00983299">
        <w:rPr>
          <w:color w:val="000000"/>
          <w:sz w:val="22"/>
          <w:szCs w:val="22"/>
        </w:rPr>
        <w:t xml:space="preserve"> sledujících do konce projektu,), interakce (komentáře, sdílení, lajky)</w:t>
      </w:r>
      <w:r>
        <w:rPr>
          <w:color w:val="000000"/>
          <w:sz w:val="22"/>
          <w:szCs w:val="22"/>
        </w:rPr>
        <w:t xml:space="preserve">. </w:t>
      </w:r>
      <w:proofErr w:type="spellStart"/>
      <w:r w:rsidRPr="00983299">
        <w:rPr>
          <w:color w:val="000000"/>
          <w:sz w:val="22"/>
          <w:szCs w:val="22"/>
        </w:rPr>
        <w:t>Youtube</w:t>
      </w:r>
      <w:proofErr w:type="spellEnd"/>
      <w:r w:rsidRPr="00983299">
        <w:rPr>
          <w:color w:val="000000"/>
          <w:sz w:val="22"/>
          <w:szCs w:val="22"/>
        </w:rPr>
        <w:t xml:space="preserve"> - 14 videí (1 za každý projekt MO/A </w:t>
      </w:r>
      <w:proofErr w:type="spellStart"/>
      <w:r w:rsidRPr="00983299">
        <w:rPr>
          <w:color w:val="000000"/>
          <w:sz w:val="22"/>
          <w:szCs w:val="22"/>
        </w:rPr>
        <w:t>a</w:t>
      </w:r>
      <w:proofErr w:type="spellEnd"/>
      <w:r w:rsidRPr="00983299">
        <w:rPr>
          <w:color w:val="000000"/>
          <w:sz w:val="22"/>
          <w:szCs w:val="22"/>
        </w:rPr>
        <w:t xml:space="preserve"> jedno shrnující</w:t>
      </w:r>
      <w:r>
        <w:rPr>
          <w:color w:val="000000"/>
          <w:sz w:val="22"/>
          <w:szCs w:val="22"/>
        </w:rPr>
        <w:t xml:space="preserve"> k nástroji ITI a metropolitní spolupráci</w:t>
      </w:r>
      <w:r w:rsidRPr="0098329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4D43616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Mediální zásahy – počet publikovaných článků a počet integrovaných </w:t>
      </w:r>
      <w:r>
        <w:rPr>
          <w:sz w:val="22"/>
          <w:szCs w:val="22"/>
        </w:rPr>
        <w:t>řešení</w:t>
      </w:r>
      <w:r>
        <w:rPr>
          <w:color w:val="000000"/>
          <w:sz w:val="22"/>
          <w:szCs w:val="22"/>
        </w:rPr>
        <w:t xml:space="preserve"> na webu (2 texty měsíčně), monitoring článků, reportáží a tiskových zpráv v regionálních i národních médiích (3 TZ za projekt)</w:t>
      </w:r>
    </w:p>
    <w:p w14:paraId="2CFC9FA9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</w:rPr>
        <w:t>Newsletter – každ</w:t>
      </w:r>
      <w:r>
        <w:rPr>
          <w:sz w:val="22"/>
          <w:szCs w:val="22"/>
        </w:rPr>
        <w:t>é čtvrtletí 20</w:t>
      </w:r>
      <w:r>
        <w:rPr>
          <w:color w:val="000000"/>
          <w:sz w:val="22"/>
          <w:szCs w:val="22"/>
        </w:rPr>
        <w:t xml:space="preserve"> nových odběratelů, celko</w:t>
      </w:r>
      <w:r>
        <w:rPr>
          <w:color w:val="000000"/>
          <w:sz w:val="22"/>
          <w:szCs w:val="22"/>
          <w:highlight w:val="white"/>
        </w:rPr>
        <w:t xml:space="preserve">vě </w:t>
      </w:r>
      <w:r>
        <w:rPr>
          <w:sz w:val="22"/>
          <w:szCs w:val="22"/>
          <w:highlight w:val="white"/>
        </w:rPr>
        <w:t>160.</w:t>
      </w:r>
    </w:p>
    <w:p w14:paraId="7285E63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Akce – počet účastníků na národním fóru (80 osob) a mezinárodní konferenci (100 osob).</w:t>
      </w:r>
    </w:p>
    <w:p w14:paraId="15DCD0CD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53430AA2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Kvalitativní metriky:</w:t>
      </w:r>
    </w:p>
    <w:p w14:paraId="4DFBD19A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Průzkumy a dotazníky – pravidelné hodnocení informovanosti a vnímání ITI mezi cílovými skupinami (veřejná správa, odborníci, veřejnost).</w:t>
      </w:r>
    </w:p>
    <w:p w14:paraId="50A4D83C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Analýza sentimentu – vyhodnocení reakcí na sociálních sítích a v médiích pro identifikaci pozitivního či negativního vnímání ITI.</w:t>
      </w:r>
    </w:p>
    <w:p w14:paraId="5F08671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6067A96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Tento systematický monitoring zajistí, že komunikační strategie ITI bude neustále zdokonalována a přizpůsobována aktuálním potřebám a trendům.</w:t>
      </w:r>
    </w:p>
    <w:p w14:paraId="03DAE2A3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7F35313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Harmonogram vyhodnocování:</w:t>
      </w:r>
    </w:p>
    <w:p w14:paraId="36AF3A45" w14:textId="77777777" w:rsidR="00E80B3C" w:rsidRPr="00CA0E8B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Pololetní analýzy – vyhodnocení metriky, úprava strategie dle aktuálních potřeb.</w:t>
      </w:r>
    </w:p>
    <w:p w14:paraId="7B5B309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14:paraId="74652F8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Opatření na základě výsledků:</w:t>
      </w:r>
    </w:p>
    <w:p w14:paraId="68DC6FD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</w:p>
    <w:p w14:paraId="6BBC1878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některé komunikační kanály nebudou fungovat dle očekávání – dojde k optimalizac</w:t>
      </w:r>
      <w:r w:rsidRPr="00983299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obsahu a formátu sdělení.</w:t>
      </w:r>
    </w:p>
    <w:p w14:paraId="2A03B3B9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Identifikace nových příležitostí pro efektivnější komunikaci (např. rozšíření spolupráce s </w:t>
      </w:r>
      <w:proofErr w:type="spellStart"/>
      <w:r>
        <w:rPr>
          <w:color w:val="000000"/>
          <w:sz w:val="22"/>
          <w:szCs w:val="22"/>
        </w:rPr>
        <w:t>influencery</w:t>
      </w:r>
      <w:proofErr w:type="spellEnd"/>
      <w:r>
        <w:rPr>
          <w:color w:val="000000"/>
          <w:sz w:val="22"/>
          <w:szCs w:val="22"/>
        </w:rPr>
        <w:t xml:space="preserve"> v oblasti regionálního rozvoje, nové vizuální formáty pro online prezentaci projektů ITI).</w:t>
      </w:r>
    </w:p>
    <w:p w14:paraId="6B128B0F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416DA9E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6"/>
          <w:szCs w:val="26"/>
          <w:u w:val="single"/>
        </w:rPr>
      </w:pPr>
    </w:p>
    <w:p w14:paraId="271BA251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Zodpovědnost za jednotlivé aktivity a zapojené subjekty</w:t>
      </w:r>
    </w:p>
    <w:p w14:paraId="6A2EB50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1CE3787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Statutární město Brno jako nositel projektu bude zodpovědné za implementaci komunikační strategie. V rámci svých interních kapacit (především v podobě komunikačního pracovníka určeného pro projekt) bude realizovat jednotlivé aktivity, vyhodnocovat účinnost nastavených cílů a monitorovat harmonogram a realizační plán.</w:t>
      </w:r>
    </w:p>
    <w:p w14:paraId="5D91BD3B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3B156344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Současně bude statutární město Brno využívat služeb externích subjektů, a to konkrétně pro podílení se na tvorbě design manuálu a grafických prací, designu webové stránky a audiovizuálního obsahu. Také bude využito služeb externích subjektů a spolupráce M</w:t>
      </w:r>
      <w:r>
        <w:rPr>
          <w:sz w:val="22"/>
          <w:szCs w:val="22"/>
        </w:rPr>
        <w:t>inisterstva pro místní rozvoj ČR</w:t>
      </w:r>
      <w:r>
        <w:rPr>
          <w:color w:val="000000"/>
          <w:sz w:val="22"/>
          <w:szCs w:val="22"/>
        </w:rPr>
        <w:t xml:space="preserve"> při zajištění národního fóra a mezinárodní konference.</w:t>
      </w:r>
    </w:p>
    <w:p w14:paraId="3E8DF195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6679BEB6" w14:textId="77777777" w:rsidR="00E80B3C" w:rsidRDefault="00E80B3C" w:rsidP="00E80B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Jednotlivé aktivity projektu budou konzultovány s Ministerstvem pro místní rozvoj ČR a nositeli nástroje ITI </w:t>
      </w:r>
      <w:r>
        <w:rPr>
          <w:sz w:val="22"/>
          <w:szCs w:val="22"/>
        </w:rPr>
        <w:t>zodpovídající</w:t>
      </w:r>
      <w:r>
        <w:rPr>
          <w:color w:val="000000"/>
          <w:sz w:val="22"/>
          <w:szCs w:val="22"/>
        </w:rPr>
        <w:t xml:space="preserve"> za rozvoj metropolitních oblastí a aglomerací.</w:t>
      </w:r>
    </w:p>
    <w:p w14:paraId="51B4013C" w14:textId="77777777" w:rsidR="006B0B0E" w:rsidRDefault="006B0B0E" w:rsidP="00325CB3">
      <w:pPr>
        <w:spacing w:before="120"/>
        <w:jc w:val="both"/>
        <w:rPr>
          <w:b/>
          <w:bCs/>
          <w:sz w:val="28"/>
          <w:szCs w:val="28"/>
        </w:rPr>
      </w:pPr>
    </w:p>
    <w:p w14:paraId="1685E01C" w14:textId="77777777" w:rsidR="00D2585E" w:rsidRDefault="006B0B0E">
      <w:pPr>
        <w:rPr>
          <w:b/>
          <w:bCs/>
          <w:sz w:val="28"/>
          <w:szCs w:val="28"/>
        </w:rPr>
        <w:sectPr w:rsidR="00D2585E" w:rsidSect="00E02460">
          <w:head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bCs/>
          <w:sz w:val="28"/>
          <w:szCs w:val="28"/>
        </w:rPr>
        <w:br w:type="page"/>
      </w:r>
    </w:p>
    <w:p w14:paraId="79412C32" w14:textId="77777777" w:rsidR="006B0B0E" w:rsidRDefault="006B0B0E">
      <w:pPr>
        <w:rPr>
          <w:b/>
          <w:bCs/>
          <w:sz w:val="28"/>
          <w:szCs w:val="28"/>
        </w:rPr>
      </w:pPr>
    </w:p>
    <w:p w14:paraId="354835CA" w14:textId="01A02F3F" w:rsidR="00325CB3" w:rsidRDefault="00DD6BBA" w:rsidP="00325CB3">
      <w:pPr>
        <w:spacing w:before="120"/>
        <w:jc w:val="both"/>
        <w:rPr>
          <w:b/>
          <w:bCs/>
          <w:sz w:val="28"/>
          <w:szCs w:val="28"/>
        </w:rPr>
      </w:pPr>
      <w:r w:rsidRPr="00894564">
        <w:rPr>
          <w:b/>
          <w:bCs/>
          <w:sz w:val="28"/>
          <w:szCs w:val="28"/>
        </w:rPr>
        <w:t>Předmět zakázky</w:t>
      </w:r>
    </w:p>
    <w:p w14:paraId="0584D616" w14:textId="77777777" w:rsidR="003327E3" w:rsidRPr="00894564" w:rsidRDefault="003327E3" w:rsidP="00325CB3">
      <w:pPr>
        <w:spacing w:before="120"/>
        <w:jc w:val="both"/>
        <w:rPr>
          <w:sz w:val="28"/>
          <w:szCs w:val="28"/>
        </w:rPr>
      </w:pPr>
    </w:p>
    <w:p w14:paraId="7B3A5C2E" w14:textId="77777777" w:rsidR="003327E3" w:rsidRPr="003327E3" w:rsidRDefault="003327E3" w:rsidP="003327E3">
      <w:r w:rsidRPr="003327E3">
        <w:t>A. Logo Metropolitní oblasti a aglomerace v ČR, které bude sjednocovat veškeré aktivity Metropolitních oblastí a aglomerací v ČR v rámci informování o nástroji integrovaných územních investic. </w:t>
      </w:r>
    </w:p>
    <w:p w14:paraId="08EF53C4" w14:textId="77777777" w:rsidR="003327E3" w:rsidRPr="003327E3" w:rsidRDefault="003327E3" w:rsidP="003327E3">
      <w:r w:rsidRPr="003327E3">
        <w:t> </w:t>
      </w:r>
    </w:p>
    <w:p w14:paraId="606D2DD7" w14:textId="77777777" w:rsidR="003327E3" w:rsidRPr="003327E3" w:rsidRDefault="003327E3" w:rsidP="003327E3">
      <w:pPr>
        <w:jc w:val="both"/>
      </w:pPr>
      <w:r w:rsidRPr="003327E3">
        <w:t>Značkou se pro účely této smlouvy rozumí slovní označení „Metropolitní oblasti a aglomerace v ČR“. Logem se rozumí pro účely této smlouvy charakteristický grafický prvek doprovázející značku. </w:t>
      </w:r>
    </w:p>
    <w:p w14:paraId="57846E51" w14:textId="77777777" w:rsidR="003327E3" w:rsidRPr="003327E3" w:rsidRDefault="003327E3" w:rsidP="003327E3">
      <w:r w:rsidRPr="003327E3">
        <w:t> </w:t>
      </w:r>
    </w:p>
    <w:p w14:paraId="0E88F1C5" w14:textId="77777777" w:rsidR="003327E3" w:rsidRPr="003327E3" w:rsidRDefault="003327E3" w:rsidP="003327E3">
      <w:r w:rsidRPr="003327E3">
        <w:t>B. Vytvoření design manuálu jednotného vizuálního stylu „Metropolitních oblastí a aglomerací“ (</w:t>
      </w:r>
      <w:proofErr w:type="spellStart"/>
      <w:r w:rsidRPr="003327E3">
        <w:t>logomanuál</w:t>
      </w:r>
      <w:proofErr w:type="spellEnd"/>
      <w:r w:rsidRPr="003327E3">
        <w:t>) </w:t>
      </w:r>
    </w:p>
    <w:p w14:paraId="36AFCBF6" w14:textId="77777777" w:rsidR="003327E3" w:rsidRPr="003327E3" w:rsidRDefault="003327E3" w:rsidP="003327E3">
      <w:r w:rsidRPr="003327E3">
        <w:t> </w:t>
      </w:r>
    </w:p>
    <w:p w14:paraId="11307B74" w14:textId="77777777" w:rsidR="003327E3" w:rsidRPr="003327E3" w:rsidRDefault="003327E3" w:rsidP="003327E3">
      <w:r w:rsidRPr="003327E3">
        <w:t>Manuál bude obsahovat kromě základního popisu aktualizovaného loga a značky i následující: </w:t>
      </w:r>
    </w:p>
    <w:p w14:paraId="0BFCD7E0" w14:textId="77777777" w:rsidR="003327E3" w:rsidRPr="003327E3" w:rsidRDefault="003327E3" w:rsidP="00C91601">
      <w:pPr>
        <w:numPr>
          <w:ilvl w:val="0"/>
          <w:numId w:val="25"/>
        </w:numPr>
      </w:pPr>
      <w:proofErr w:type="spellStart"/>
      <w:r w:rsidRPr="003327E3">
        <w:rPr>
          <w:lang w:val="en-US"/>
        </w:rPr>
        <w:t>Uvedení</w:t>
      </w:r>
      <w:proofErr w:type="spellEnd"/>
      <w:r w:rsidRPr="003327E3">
        <w:rPr>
          <w:lang w:val="en-US"/>
        </w:rPr>
        <w:t xml:space="preserve"> a </w:t>
      </w:r>
      <w:proofErr w:type="spellStart"/>
      <w:r w:rsidRPr="003327E3">
        <w:rPr>
          <w:lang w:val="en-US"/>
        </w:rPr>
        <w:t>popis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základní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varianty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a </w:t>
      </w:r>
      <w:proofErr w:type="spellStart"/>
      <w:r w:rsidRPr="003327E3">
        <w:rPr>
          <w:lang w:val="en-US"/>
        </w:rPr>
        <w:t>značky</w:t>
      </w:r>
      <w:proofErr w:type="spellEnd"/>
      <w:r w:rsidRPr="003327E3">
        <w:rPr>
          <w:lang w:val="en-US"/>
        </w:rPr>
        <w:t xml:space="preserve"> v CZ a </w:t>
      </w:r>
      <w:proofErr w:type="gramStart"/>
      <w:r w:rsidRPr="003327E3">
        <w:rPr>
          <w:lang w:val="en-US"/>
        </w:rPr>
        <w:t>AJ;</w:t>
      </w:r>
      <w:proofErr w:type="gramEnd"/>
      <w:r w:rsidRPr="003327E3">
        <w:t> </w:t>
      </w:r>
    </w:p>
    <w:p w14:paraId="7DF271D4" w14:textId="77777777" w:rsidR="003327E3" w:rsidRPr="003327E3" w:rsidRDefault="003327E3" w:rsidP="00C91601">
      <w:pPr>
        <w:numPr>
          <w:ilvl w:val="0"/>
          <w:numId w:val="26"/>
        </w:numPr>
      </w:pPr>
      <w:proofErr w:type="spellStart"/>
      <w:r w:rsidRPr="003327E3">
        <w:rPr>
          <w:lang w:val="en-US"/>
        </w:rPr>
        <w:t>Uvedení</w:t>
      </w:r>
      <w:proofErr w:type="spellEnd"/>
      <w:r w:rsidRPr="003327E3">
        <w:rPr>
          <w:lang w:val="en-US"/>
        </w:rPr>
        <w:t xml:space="preserve"> a </w:t>
      </w:r>
      <w:proofErr w:type="spellStart"/>
      <w:r w:rsidRPr="003327E3">
        <w:rPr>
          <w:lang w:val="en-US"/>
        </w:rPr>
        <w:t>popis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inverzní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černobílé</w:t>
      </w:r>
      <w:proofErr w:type="spellEnd"/>
      <w:r w:rsidRPr="003327E3">
        <w:rPr>
          <w:lang w:val="en-US"/>
        </w:rPr>
        <w:t>/</w:t>
      </w:r>
      <w:proofErr w:type="spellStart"/>
      <w:r w:rsidRPr="003327E3">
        <w:rPr>
          <w:lang w:val="en-US"/>
        </w:rPr>
        <w:t>jednobarevné</w:t>
      </w:r>
      <w:proofErr w:type="spellEnd"/>
      <w:r w:rsidRPr="003327E3">
        <w:rPr>
          <w:lang w:val="en-US"/>
        </w:rPr>
        <w:t xml:space="preserve"> </w:t>
      </w:r>
      <w:proofErr w:type="gramStart"/>
      <w:r w:rsidRPr="003327E3">
        <w:rPr>
          <w:lang w:val="en-US"/>
        </w:rPr>
        <w:t>a</w:t>
      </w:r>
      <w:proofErr w:type="gram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inverzní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černobíle</w:t>
      </w:r>
      <w:proofErr w:type="spellEnd"/>
      <w:r w:rsidRPr="003327E3">
        <w:rPr>
          <w:lang w:val="en-US"/>
        </w:rPr>
        <w:t>/</w:t>
      </w:r>
      <w:proofErr w:type="spellStart"/>
      <w:r w:rsidRPr="003327E3">
        <w:rPr>
          <w:lang w:val="en-US"/>
        </w:rPr>
        <w:t>jednobarevné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varianty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a </w:t>
      </w:r>
      <w:proofErr w:type="spellStart"/>
      <w:r w:rsidRPr="003327E3">
        <w:rPr>
          <w:lang w:val="en-US"/>
        </w:rPr>
        <w:t>značky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vč</w:t>
      </w:r>
      <w:proofErr w:type="spellEnd"/>
      <w:r w:rsidRPr="003327E3">
        <w:rPr>
          <w:lang w:val="en-US"/>
        </w:rPr>
        <w:t xml:space="preserve">. </w:t>
      </w:r>
      <w:proofErr w:type="spellStart"/>
      <w:r w:rsidRPr="003327E3">
        <w:rPr>
          <w:lang w:val="en-US"/>
        </w:rPr>
        <w:t>pokynů</w:t>
      </w:r>
      <w:proofErr w:type="spellEnd"/>
      <w:r w:rsidRPr="003327E3">
        <w:rPr>
          <w:lang w:val="en-US"/>
        </w:rPr>
        <w:t xml:space="preserve"> k </w:t>
      </w:r>
      <w:proofErr w:type="spellStart"/>
      <w:r w:rsidRPr="003327E3">
        <w:rPr>
          <w:lang w:val="en-US"/>
        </w:rPr>
        <w:t>aplikaci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v </w:t>
      </w:r>
      <w:proofErr w:type="spellStart"/>
      <w:r w:rsidRPr="003327E3">
        <w:rPr>
          <w:lang w:val="en-US"/>
        </w:rPr>
        <w:t>těchto</w:t>
      </w:r>
      <w:proofErr w:type="spellEnd"/>
      <w:r w:rsidRPr="003327E3">
        <w:rPr>
          <w:lang w:val="en-US"/>
        </w:rPr>
        <w:t xml:space="preserve"> </w:t>
      </w:r>
      <w:proofErr w:type="spellStart"/>
      <w:proofErr w:type="gramStart"/>
      <w:r w:rsidRPr="003327E3">
        <w:rPr>
          <w:lang w:val="en-US"/>
        </w:rPr>
        <w:t>variantách</w:t>
      </w:r>
      <w:proofErr w:type="spellEnd"/>
      <w:r w:rsidRPr="003327E3">
        <w:rPr>
          <w:lang w:val="en-US"/>
        </w:rPr>
        <w:t>;</w:t>
      </w:r>
      <w:proofErr w:type="gramEnd"/>
      <w:r w:rsidRPr="003327E3">
        <w:t> </w:t>
      </w:r>
    </w:p>
    <w:p w14:paraId="5905E0D4" w14:textId="77777777" w:rsidR="003327E3" w:rsidRPr="003327E3" w:rsidRDefault="003327E3" w:rsidP="00C91601">
      <w:pPr>
        <w:numPr>
          <w:ilvl w:val="0"/>
          <w:numId w:val="27"/>
        </w:numPr>
      </w:pPr>
      <w:proofErr w:type="spellStart"/>
      <w:r w:rsidRPr="003327E3">
        <w:rPr>
          <w:lang w:val="en-US"/>
        </w:rPr>
        <w:t>Popis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barevnosti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a </w:t>
      </w:r>
      <w:proofErr w:type="spellStart"/>
      <w:r w:rsidRPr="003327E3">
        <w:rPr>
          <w:lang w:val="en-US"/>
        </w:rPr>
        <w:t>značky</w:t>
      </w:r>
      <w:proofErr w:type="spellEnd"/>
      <w:r w:rsidRPr="003327E3">
        <w:rPr>
          <w:lang w:val="en-US"/>
        </w:rPr>
        <w:t xml:space="preserve"> s </w:t>
      </w:r>
      <w:proofErr w:type="spellStart"/>
      <w:r w:rsidRPr="003327E3">
        <w:rPr>
          <w:lang w:val="en-US"/>
        </w:rPr>
        <w:t>uvedením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kódů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použitých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barev</w:t>
      </w:r>
      <w:proofErr w:type="spellEnd"/>
      <w:r w:rsidRPr="003327E3">
        <w:rPr>
          <w:lang w:val="en-US"/>
        </w:rPr>
        <w:t xml:space="preserve"> (Pantone, CMYK, RGB, RAL) a </w:t>
      </w:r>
      <w:proofErr w:type="spellStart"/>
      <w:r w:rsidRPr="003327E3">
        <w:rPr>
          <w:lang w:val="en-US"/>
        </w:rPr>
        <w:t>využívání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barevné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palety</w:t>
      </w:r>
      <w:proofErr w:type="spellEnd"/>
      <w:r w:rsidRPr="003327E3">
        <w:rPr>
          <w:lang w:val="en-US"/>
        </w:rPr>
        <w:t xml:space="preserve"> s </w:t>
      </w:r>
      <w:proofErr w:type="spellStart"/>
      <w:r w:rsidRPr="003327E3">
        <w:rPr>
          <w:lang w:val="en-US"/>
        </w:rPr>
        <w:t>použiváním</w:t>
      </w:r>
      <w:proofErr w:type="spellEnd"/>
      <w:r w:rsidRPr="003327E3">
        <w:rPr>
          <w:lang w:val="en-US"/>
        </w:rPr>
        <w:t xml:space="preserve"> </w:t>
      </w:r>
      <w:proofErr w:type="spellStart"/>
      <w:proofErr w:type="gram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>;</w:t>
      </w:r>
      <w:proofErr w:type="gramEnd"/>
      <w:r w:rsidRPr="003327E3">
        <w:t> </w:t>
      </w:r>
    </w:p>
    <w:p w14:paraId="518F06F2" w14:textId="77777777" w:rsidR="003327E3" w:rsidRPr="003327E3" w:rsidRDefault="003327E3" w:rsidP="00C91601">
      <w:pPr>
        <w:numPr>
          <w:ilvl w:val="0"/>
          <w:numId w:val="28"/>
        </w:numPr>
      </w:pPr>
      <w:proofErr w:type="spellStart"/>
      <w:r w:rsidRPr="003327E3">
        <w:rPr>
          <w:lang w:val="en-US"/>
        </w:rPr>
        <w:t>Vymezení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ochranných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zón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a </w:t>
      </w:r>
      <w:proofErr w:type="spellStart"/>
      <w:proofErr w:type="gramStart"/>
      <w:r w:rsidRPr="003327E3">
        <w:rPr>
          <w:lang w:val="en-US"/>
        </w:rPr>
        <w:t>značky</w:t>
      </w:r>
      <w:proofErr w:type="spellEnd"/>
      <w:r w:rsidRPr="003327E3">
        <w:rPr>
          <w:lang w:val="en-US"/>
        </w:rPr>
        <w:t>;</w:t>
      </w:r>
      <w:proofErr w:type="gramEnd"/>
      <w:r w:rsidRPr="003327E3">
        <w:t> </w:t>
      </w:r>
    </w:p>
    <w:p w14:paraId="770A5B43" w14:textId="77777777" w:rsidR="003327E3" w:rsidRPr="003327E3" w:rsidRDefault="003327E3" w:rsidP="00C91601">
      <w:pPr>
        <w:numPr>
          <w:ilvl w:val="0"/>
          <w:numId w:val="29"/>
        </w:numPr>
      </w:pPr>
      <w:proofErr w:type="spellStart"/>
      <w:r w:rsidRPr="003327E3">
        <w:rPr>
          <w:lang w:val="en-US"/>
        </w:rPr>
        <w:t>Stanovení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fontu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písma</w:t>
      </w:r>
      <w:proofErr w:type="spellEnd"/>
      <w:r w:rsidRPr="003327E3">
        <w:rPr>
          <w:lang w:val="en-US"/>
        </w:rPr>
        <w:t xml:space="preserve"> pro logo a </w:t>
      </w:r>
      <w:proofErr w:type="spellStart"/>
      <w:r w:rsidRPr="003327E3">
        <w:rPr>
          <w:lang w:val="en-US"/>
        </w:rPr>
        <w:t>podtitul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„</w:t>
      </w:r>
      <w:proofErr w:type="spellStart"/>
      <w:r w:rsidRPr="003327E3">
        <w:rPr>
          <w:lang w:val="en-US"/>
        </w:rPr>
        <w:t>Název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jednotlivé</w:t>
      </w:r>
      <w:proofErr w:type="spellEnd"/>
      <w:r w:rsidRPr="003327E3">
        <w:rPr>
          <w:lang w:val="en-US"/>
        </w:rPr>
        <w:t xml:space="preserve"> MO/A “,</w:t>
      </w:r>
      <w:r w:rsidRPr="003327E3">
        <w:t> </w:t>
      </w:r>
    </w:p>
    <w:p w14:paraId="635C0203" w14:textId="77777777" w:rsidR="003327E3" w:rsidRPr="003327E3" w:rsidRDefault="003327E3" w:rsidP="00C91601">
      <w:pPr>
        <w:numPr>
          <w:ilvl w:val="0"/>
          <w:numId w:val="30"/>
        </w:numPr>
      </w:pPr>
      <w:proofErr w:type="spellStart"/>
      <w:r w:rsidRPr="003327E3">
        <w:rPr>
          <w:u w:val="single"/>
          <w:lang w:val="en-US"/>
        </w:rPr>
        <w:t>Stanovení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minimální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velikosti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loga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na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prostorových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grafických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proofErr w:type="gramStart"/>
      <w:r w:rsidRPr="003327E3">
        <w:rPr>
          <w:u w:val="single"/>
          <w:lang w:val="en-US"/>
        </w:rPr>
        <w:t>prvcích</w:t>
      </w:r>
      <w:proofErr w:type="spellEnd"/>
      <w:r w:rsidRPr="003327E3">
        <w:rPr>
          <w:u w:val="single"/>
          <w:lang w:val="en-US"/>
        </w:rPr>
        <w:t>;</w:t>
      </w:r>
      <w:proofErr w:type="gramEnd"/>
      <w:r w:rsidRPr="003327E3">
        <w:t> </w:t>
      </w:r>
    </w:p>
    <w:p w14:paraId="5BC623DA" w14:textId="77777777" w:rsidR="003327E3" w:rsidRPr="003327E3" w:rsidRDefault="003327E3" w:rsidP="00C91601">
      <w:pPr>
        <w:numPr>
          <w:ilvl w:val="0"/>
          <w:numId w:val="31"/>
        </w:numPr>
      </w:pPr>
      <w:proofErr w:type="spellStart"/>
      <w:r w:rsidRPr="003327E3">
        <w:rPr>
          <w:u w:val="single"/>
          <w:lang w:val="en-US"/>
        </w:rPr>
        <w:t>Stanovení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umístění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loga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na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tiskovinách</w:t>
      </w:r>
      <w:proofErr w:type="spellEnd"/>
      <w:r w:rsidRPr="003327E3">
        <w:rPr>
          <w:u w:val="single"/>
          <w:lang w:val="en-US"/>
        </w:rPr>
        <w:t xml:space="preserve">, </w:t>
      </w:r>
      <w:proofErr w:type="spellStart"/>
      <w:r w:rsidRPr="003327E3">
        <w:rPr>
          <w:u w:val="single"/>
          <w:lang w:val="en-US"/>
        </w:rPr>
        <w:t>prostorových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grafických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prvcích</w:t>
      </w:r>
      <w:proofErr w:type="spellEnd"/>
      <w:r w:rsidRPr="003327E3">
        <w:rPr>
          <w:u w:val="single"/>
          <w:lang w:val="en-US"/>
        </w:rPr>
        <w:t xml:space="preserve">, v </w:t>
      </w:r>
      <w:proofErr w:type="spellStart"/>
      <w:r w:rsidRPr="003327E3">
        <w:rPr>
          <w:u w:val="single"/>
          <w:lang w:val="en-US"/>
        </w:rPr>
        <w:t>powerpoint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prezentacích</w:t>
      </w:r>
      <w:proofErr w:type="spellEnd"/>
      <w:r w:rsidRPr="003327E3">
        <w:rPr>
          <w:u w:val="single"/>
          <w:lang w:val="en-US"/>
        </w:rPr>
        <w:t xml:space="preserve"> a </w:t>
      </w:r>
      <w:proofErr w:type="spellStart"/>
      <w:r w:rsidRPr="003327E3">
        <w:rPr>
          <w:u w:val="single"/>
          <w:lang w:val="en-US"/>
        </w:rPr>
        <w:t>šablonách</w:t>
      </w:r>
      <w:proofErr w:type="spellEnd"/>
      <w:r w:rsidRPr="003327E3">
        <w:rPr>
          <w:u w:val="single"/>
          <w:lang w:val="en-US"/>
        </w:rPr>
        <w:t xml:space="preserve"> pro </w:t>
      </w:r>
      <w:proofErr w:type="spellStart"/>
      <w:r w:rsidRPr="003327E3">
        <w:rPr>
          <w:u w:val="single"/>
          <w:lang w:val="en-US"/>
        </w:rPr>
        <w:t>sociální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proofErr w:type="gramStart"/>
      <w:r w:rsidRPr="003327E3">
        <w:rPr>
          <w:u w:val="single"/>
          <w:lang w:val="en-US"/>
        </w:rPr>
        <w:t>sítě</w:t>
      </w:r>
      <w:proofErr w:type="spellEnd"/>
      <w:r w:rsidRPr="003327E3">
        <w:rPr>
          <w:u w:val="single"/>
          <w:lang w:val="en-US"/>
        </w:rPr>
        <w:t>;</w:t>
      </w:r>
      <w:proofErr w:type="gramEnd"/>
      <w:r w:rsidRPr="003327E3">
        <w:t> </w:t>
      </w:r>
    </w:p>
    <w:p w14:paraId="5B5A3836" w14:textId="77777777" w:rsidR="003327E3" w:rsidRPr="003327E3" w:rsidRDefault="003327E3" w:rsidP="00C91601">
      <w:pPr>
        <w:numPr>
          <w:ilvl w:val="0"/>
          <w:numId w:val="32"/>
        </w:numPr>
      </w:pPr>
      <w:proofErr w:type="spellStart"/>
      <w:r w:rsidRPr="003327E3">
        <w:rPr>
          <w:u w:val="single"/>
          <w:lang w:val="en-US"/>
        </w:rPr>
        <w:t>Stanovení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zobrazování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vícero</w:t>
      </w:r>
      <w:proofErr w:type="spellEnd"/>
      <w:r w:rsidRPr="003327E3">
        <w:rPr>
          <w:u w:val="single"/>
          <w:lang w:val="en-US"/>
        </w:rPr>
        <w:t xml:space="preserve"> log – </w:t>
      </w:r>
      <w:proofErr w:type="spellStart"/>
      <w:r w:rsidRPr="003327E3">
        <w:rPr>
          <w:u w:val="single"/>
          <w:lang w:val="en-US"/>
        </w:rPr>
        <w:t>pokud</w:t>
      </w:r>
      <w:proofErr w:type="spellEnd"/>
      <w:r w:rsidRPr="003327E3">
        <w:rPr>
          <w:u w:val="single"/>
          <w:lang w:val="en-US"/>
        </w:rPr>
        <w:t xml:space="preserve"> se </w:t>
      </w:r>
      <w:proofErr w:type="spellStart"/>
      <w:r w:rsidRPr="003327E3">
        <w:rPr>
          <w:u w:val="single"/>
          <w:lang w:val="en-US"/>
        </w:rPr>
        <w:t>spolu</w:t>
      </w:r>
      <w:proofErr w:type="spellEnd"/>
      <w:r w:rsidRPr="003327E3">
        <w:rPr>
          <w:u w:val="single"/>
          <w:lang w:val="en-US"/>
        </w:rPr>
        <w:t xml:space="preserve"> s </w:t>
      </w:r>
      <w:proofErr w:type="spellStart"/>
      <w:r w:rsidRPr="003327E3">
        <w:rPr>
          <w:u w:val="single"/>
          <w:lang w:val="en-US"/>
        </w:rPr>
        <w:t>logem</w:t>
      </w:r>
      <w:proofErr w:type="spellEnd"/>
      <w:r w:rsidRPr="003327E3">
        <w:rPr>
          <w:u w:val="single"/>
          <w:lang w:val="en-US"/>
        </w:rPr>
        <w:t xml:space="preserve"> MO/A ITI </w:t>
      </w:r>
      <w:proofErr w:type="spellStart"/>
      <w:r w:rsidRPr="003327E3">
        <w:rPr>
          <w:u w:val="single"/>
          <w:lang w:val="en-US"/>
        </w:rPr>
        <w:t>zobrazují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i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jiná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loga</w:t>
      </w:r>
      <w:proofErr w:type="spellEnd"/>
      <w:r w:rsidRPr="003327E3">
        <w:rPr>
          <w:u w:val="single"/>
          <w:lang w:val="en-US"/>
        </w:rPr>
        <w:t xml:space="preserve">, </w:t>
      </w:r>
      <w:proofErr w:type="spellStart"/>
      <w:r w:rsidRPr="003327E3">
        <w:rPr>
          <w:u w:val="single"/>
          <w:lang w:val="en-US"/>
        </w:rPr>
        <w:t>musí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být</w:t>
      </w:r>
      <w:proofErr w:type="spellEnd"/>
      <w:r w:rsidRPr="003327E3">
        <w:rPr>
          <w:u w:val="single"/>
          <w:lang w:val="en-US"/>
        </w:rPr>
        <w:t xml:space="preserve"> logo MO/A ITI </w:t>
      </w:r>
      <w:proofErr w:type="spellStart"/>
      <w:r w:rsidRPr="003327E3">
        <w:rPr>
          <w:u w:val="single"/>
          <w:lang w:val="en-US"/>
        </w:rPr>
        <w:t>minimálně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tak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velké</w:t>
      </w:r>
      <w:proofErr w:type="spellEnd"/>
      <w:r w:rsidRPr="003327E3">
        <w:rPr>
          <w:u w:val="single"/>
          <w:lang w:val="en-US"/>
        </w:rPr>
        <w:t xml:space="preserve">, </w:t>
      </w:r>
      <w:proofErr w:type="spellStart"/>
      <w:r w:rsidRPr="003327E3">
        <w:rPr>
          <w:u w:val="single"/>
          <w:lang w:val="en-US"/>
        </w:rPr>
        <w:t>jako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největší</w:t>
      </w:r>
      <w:proofErr w:type="spellEnd"/>
      <w:r w:rsidRPr="003327E3">
        <w:rPr>
          <w:u w:val="single"/>
          <w:lang w:val="en-US"/>
        </w:rPr>
        <w:t xml:space="preserve"> z </w:t>
      </w:r>
      <w:proofErr w:type="spellStart"/>
      <w:r w:rsidRPr="003327E3">
        <w:rPr>
          <w:u w:val="single"/>
          <w:lang w:val="en-US"/>
        </w:rPr>
        <w:t>ostatních</w:t>
      </w:r>
      <w:proofErr w:type="spellEnd"/>
      <w:r w:rsidRPr="003327E3">
        <w:rPr>
          <w:u w:val="single"/>
          <w:lang w:val="en-US"/>
        </w:rPr>
        <w:t xml:space="preserve"> log, </w:t>
      </w:r>
      <w:proofErr w:type="spellStart"/>
      <w:r w:rsidRPr="003327E3">
        <w:rPr>
          <w:u w:val="single"/>
          <w:lang w:val="en-US"/>
        </w:rPr>
        <w:t>musí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být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stejně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výrazné</w:t>
      </w:r>
      <w:proofErr w:type="spellEnd"/>
      <w:r w:rsidRPr="003327E3">
        <w:rPr>
          <w:u w:val="single"/>
          <w:lang w:val="en-US"/>
        </w:rPr>
        <w:t xml:space="preserve"> a </w:t>
      </w:r>
      <w:proofErr w:type="spellStart"/>
      <w:r w:rsidRPr="003327E3">
        <w:rPr>
          <w:u w:val="single"/>
          <w:lang w:val="en-US"/>
        </w:rPr>
        <w:t>viditelné</w:t>
      </w:r>
      <w:proofErr w:type="spellEnd"/>
      <w:r w:rsidRPr="003327E3">
        <w:rPr>
          <w:u w:val="single"/>
          <w:lang w:val="en-US"/>
        </w:rPr>
        <w:t xml:space="preserve">, </w:t>
      </w:r>
      <w:proofErr w:type="spellStart"/>
      <w:r w:rsidRPr="003327E3">
        <w:rPr>
          <w:u w:val="single"/>
          <w:lang w:val="en-US"/>
        </w:rPr>
        <w:t>musí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být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vždy</w:t>
      </w:r>
      <w:proofErr w:type="spellEnd"/>
      <w:r w:rsidRPr="003327E3">
        <w:rPr>
          <w:u w:val="single"/>
          <w:lang w:val="en-US"/>
        </w:rPr>
        <w:t xml:space="preserve"> </w:t>
      </w:r>
      <w:proofErr w:type="spellStart"/>
      <w:r w:rsidRPr="003327E3">
        <w:rPr>
          <w:u w:val="single"/>
          <w:lang w:val="en-US"/>
        </w:rPr>
        <w:t>první</w:t>
      </w:r>
      <w:proofErr w:type="spellEnd"/>
      <w:r w:rsidRPr="003327E3">
        <w:rPr>
          <w:u w:val="single"/>
          <w:lang w:val="en-US"/>
        </w:rPr>
        <w:t xml:space="preserve"> v </w:t>
      </w:r>
      <w:proofErr w:type="spellStart"/>
      <w:r w:rsidRPr="003327E3">
        <w:rPr>
          <w:u w:val="single"/>
          <w:lang w:val="en-US"/>
        </w:rPr>
        <w:t>pořadí</w:t>
      </w:r>
      <w:proofErr w:type="spellEnd"/>
      <w:r w:rsidRPr="003327E3">
        <w:t> </w:t>
      </w:r>
    </w:p>
    <w:p w14:paraId="2F2B5D8A" w14:textId="77777777" w:rsidR="003327E3" w:rsidRPr="003327E3" w:rsidRDefault="003327E3" w:rsidP="00C91601">
      <w:pPr>
        <w:numPr>
          <w:ilvl w:val="0"/>
          <w:numId w:val="33"/>
        </w:numPr>
      </w:pPr>
      <w:proofErr w:type="spellStart"/>
      <w:r w:rsidRPr="003327E3">
        <w:rPr>
          <w:lang w:val="en-US"/>
        </w:rPr>
        <w:t>Příklady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použití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na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různých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podkladových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plochách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vč</w:t>
      </w:r>
      <w:proofErr w:type="spellEnd"/>
      <w:r w:rsidRPr="003327E3">
        <w:rPr>
          <w:lang w:val="en-US"/>
        </w:rPr>
        <w:t xml:space="preserve">. </w:t>
      </w:r>
      <w:proofErr w:type="spellStart"/>
      <w:proofErr w:type="gramStart"/>
      <w:r w:rsidRPr="003327E3">
        <w:rPr>
          <w:lang w:val="en-US"/>
        </w:rPr>
        <w:t>fotografií</w:t>
      </w:r>
      <w:proofErr w:type="spellEnd"/>
      <w:r w:rsidRPr="003327E3">
        <w:rPr>
          <w:lang w:val="en-US"/>
        </w:rPr>
        <w:t>;</w:t>
      </w:r>
      <w:proofErr w:type="gramEnd"/>
      <w:r w:rsidRPr="003327E3">
        <w:t> </w:t>
      </w:r>
    </w:p>
    <w:p w14:paraId="2DB03C85" w14:textId="77777777" w:rsidR="003327E3" w:rsidRPr="003327E3" w:rsidRDefault="003327E3" w:rsidP="00C91601">
      <w:pPr>
        <w:numPr>
          <w:ilvl w:val="0"/>
          <w:numId w:val="34"/>
        </w:numPr>
      </w:pPr>
      <w:proofErr w:type="spellStart"/>
      <w:r w:rsidRPr="003327E3">
        <w:rPr>
          <w:lang w:val="en-US"/>
        </w:rPr>
        <w:t>Příklady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zakázaného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použití</w:t>
      </w:r>
      <w:proofErr w:type="spellEnd"/>
      <w:r w:rsidRPr="003327E3">
        <w:rPr>
          <w:lang w:val="en-US"/>
        </w:rPr>
        <w:t xml:space="preserve"> </w:t>
      </w:r>
      <w:proofErr w:type="spellStart"/>
      <w:proofErr w:type="gram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>;</w:t>
      </w:r>
      <w:proofErr w:type="gramEnd"/>
      <w:r w:rsidRPr="003327E3">
        <w:t> </w:t>
      </w:r>
    </w:p>
    <w:p w14:paraId="5D0E756F" w14:textId="77777777" w:rsidR="003327E3" w:rsidRPr="003327E3" w:rsidRDefault="003327E3" w:rsidP="00C91601">
      <w:pPr>
        <w:numPr>
          <w:ilvl w:val="0"/>
          <w:numId w:val="35"/>
        </w:numPr>
      </w:pPr>
      <w:proofErr w:type="spellStart"/>
      <w:r w:rsidRPr="003327E3">
        <w:rPr>
          <w:lang w:val="en-US"/>
        </w:rPr>
        <w:t>Příklady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využití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loga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na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běžných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reklamních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předmětech</w:t>
      </w:r>
      <w:proofErr w:type="spellEnd"/>
      <w:r w:rsidRPr="003327E3">
        <w:rPr>
          <w:lang w:val="en-US"/>
        </w:rPr>
        <w:t xml:space="preserve"> (min. </w:t>
      </w:r>
      <w:proofErr w:type="spellStart"/>
      <w:r w:rsidRPr="003327E3">
        <w:rPr>
          <w:lang w:val="en-US"/>
        </w:rPr>
        <w:t>propiska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hrnek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šňůrka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na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krk</w:t>
      </w:r>
      <w:proofErr w:type="spellEnd"/>
      <w:r w:rsidRPr="003327E3">
        <w:rPr>
          <w:lang w:val="en-US"/>
        </w:rPr>
        <w:t xml:space="preserve">), </w:t>
      </w:r>
      <w:proofErr w:type="spellStart"/>
      <w:r w:rsidRPr="003327E3">
        <w:rPr>
          <w:lang w:val="en-US"/>
        </w:rPr>
        <w:t>tiskovinách</w:t>
      </w:r>
      <w:proofErr w:type="spellEnd"/>
      <w:r w:rsidRPr="003327E3">
        <w:rPr>
          <w:lang w:val="en-US"/>
        </w:rPr>
        <w:t xml:space="preserve"> (</w:t>
      </w:r>
      <w:proofErr w:type="spellStart"/>
      <w:r w:rsidRPr="003327E3">
        <w:rPr>
          <w:lang w:val="en-US"/>
        </w:rPr>
        <w:t>hlavičkový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papír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blok</w:t>
      </w:r>
      <w:proofErr w:type="spellEnd"/>
      <w:r w:rsidRPr="003327E3">
        <w:rPr>
          <w:lang w:val="en-US"/>
        </w:rPr>
        <w:t xml:space="preserve"> A5, </w:t>
      </w:r>
      <w:proofErr w:type="spellStart"/>
      <w:r w:rsidRPr="003327E3">
        <w:rPr>
          <w:lang w:val="en-US"/>
        </w:rPr>
        <w:t>obálka</w:t>
      </w:r>
      <w:proofErr w:type="spellEnd"/>
      <w:r w:rsidRPr="003327E3">
        <w:rPr>
          <w:lang w:val="en-US"/>
        </w:rPr>
        <w:t xml:space="preserve">), </w:t>
      </w:r>
      <w:proofErr w:type="spellStart"/>
      <w:r w:rsidRPr="003327E3">
        <w:rPr>
          <w:lang w:val="en-US"/>
        </w:rPr>
        <w:t>prostorových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grafických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prvcích</w:t>
      </w:r>
      <w:proofErr w:type="spellEnd"/>
      <w:r w:rsidRPr="003327E3">
        <w:rPr>
          <w:lang w:val="en-US"/>
        </w:rPr>
        <w:t xml:space="preserve"> (roll-up, </w:t>
      </w:r>
      <w:proofErr w:type="spellStart"/>
      <w:r w:rsidRPr="003327E3">
        <w:rPr>
          <w:lang w:val="en-US"/>
        </w:rPr>
        <w:t>prezentační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stěna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citylight</w:t>
      </w:r>
      <w:proofErr w:type="spellEnd"/>
      <w:proofErr w:type="gramStart"/>
      <w:r w:rsidRPr="003327E3">
        <w:rPr>
          <w:lang w:val="en-US"/>
        </w:rPr>
        <w:t>);</w:t>
      </w:r>
      <w:proofErr w:type="gramEnd"/>
      <w:r w:rsidRPr="003327E3">
        <w:t> </w:t>
      </w:r>
    </w:p>
    <w:p w14:paraId="3FF4ED3F" w14:textId="77777777" w:rsidR="003327E3" w:rsidRPr="003327E3" w:rsidRDefault="003327E3" w:rsidP="00C91601">
      <w:pPr>
        <w:numPr>
          <w:ilvl w:val="0"/>
          <w:numId w:val="38"/>
        </w:numPr>
      </w:pPr>
      <w:proofErr w:type="spellStart"/>
      <w:r w:rsidRPr="003327E3">
        <w:rPr>
          <w:lang w:val="en-US"/>
        </w:rPr>
        <w:t>Manuál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bude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zpracován</w:t>
      </w:r>
      <w:proofErr w:type="spellEnd"/>
      <w:r w:rsidRPr="003327E3">
        <w:rPr>
          <w:lang w:val="en-US"/>
        </w:rPr>
        <w:t xml:space="preserve"> v </w:t>
      </w:r>
      <w:proofErr w:type="spellStart"/>
      <w:r w:rsidRPr="003327E3">
        <w:rPr>
          <w:lang w:val="en-US"/>
        </w:rPr>
        <w:t>českém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jazyce</w:t>
      </w:r>
      <w:proofErr w:type="spellEnd"/>
      <w:r w:rsidRPr="003327E3">
        <w:rPr>
          <w:lang w:val="en-US"/>
        </w:rPr>
        <w:t>. </w:t>
      </w:r>
      <w:r w:rsidRPr="003327E3">
        <w:t> </w:t>
      </w:r>
    </w:p>
    <w:p w14:paraId="323E6E11" w14:textId="77777777" w:rsidR="003327E3" w:rsidRDefault="003327E3" w:rsidP="003327E3">
      <w:r w:rsidRPr="003327E3">
        <w:t> </w:t>
      </w:r>
    </w:p>
    <w:p w14:paraId="1CB82EEA" w14:textId="6D58E077" w:rsidR="003327E3" w:rsidRDefault="003327E3" w:rsidP="003327E3">
      <w:pPr>
        <w:spacing w:before="120"/>
        <w:jc w:val="both"/>
      </w:pPr>
      <w:r>
        <w:t xml:space="preserve">C: </w:t>
      </w:r>
      <w:r w:rsidRPr="009D013E">
        <w:t>Vytvoření layoutu</w:t>
      </w:r>
      <w:r>
        <w:t xml:space="preserve"> s použitím loga a barevnosti</w:t>
      </w:r>
      <w:r w:rsidRPr="009D013E">
        <w:t xml:space="preserve"> pro plakát, </w:t>
      </w:r>
      <w:proofErr w:type="spellStart"/>
      <w:r w:rsidRPr="009D013E">
        <w:t>powerpoint</w:t>
      </w:r>
      <w:proofErr w:type="spellEnd"/>
      <w:r w:rsidRPr="009D013E">
        <w:t xml:space="preserve"> prezentac</w:t>
      </w:r>
      <w:r w:rsidR="00700125">
        <w:t>i</w:t>
      </w:r>
      <w:r w:rsidRPr="009D013E">
        <w:t>, newsletter a digitální obsah na sociální sítě</w:t>
      </w:r>
      <w:r w:rsidR="00FC0838">
        <w:t>.</w:t>
      </w:r>
    </w:p>
    <w:p w14:paraId="75AADF93" w14:textId="77777777" w:rsidR="00FC0838" w:rsidRPr="003327E3" w:rsidRDefault="00FC0838" w:rsidP="00FC0838">
      <w:pPr>
        <w:numPr>
          <w:ilvl w:val="0"/>
          <w:numId w:val="36"/>
        </w:numPr>
      </w:pPr>
      <w:proofErr w:type="spellStart"/>
      <w:r w:rsidRPr="003327E3">
        <w:rPr>
          <w:lang w:val="en-US"/>
        </w:rPr>
        <w:t>Vizuální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návrhy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šablon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formátů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na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sociální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sítě</w:t>
      </w:r>
      <w:proofErr w:type="spellEnd"/>
      <w:r w:rsidRPr="003327E3">
        <w:rPr>
          <w:lang w:val="en-US"/>
        </w:rPr>
        <w:t xml:space="preserve"> (Facebook, </w:t>
      </w:r>
      <w:proofErr w:type="spellStart"/>
      <w:r w:rsidRPr="003327E3">
        <w:rPr>
          <w:lang w:val="en-US"/>
        </w:rPr>
        <w:t>LinkedIN</w:t>
      </w:r>
      <w:proofErr w:type="spellEnd"/>
      <w:r w:rsidRPr="003327E3">
        <w:rPr>
          <w:lang w:val="en-US"/>
        </w:rPr>
        <w:t xml:space="preserve">), </w:t>
      </w:r>
      <w:proofErr w:type="spellStart"/>
      <w:r w:rsidRPr="003327E3">
        <w:rPr>
          <w:lang w:val="en-US"/>
        </w:rPr>
        <w:t>jako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např</w:t>
      </w:r>
      <w:proofErr w:type="spellEnd"/>
      <w:r w:rsidRPr="003327E3">
        <w:rPr>
          <w:lang w:val="en-US"/>
        </w:rPr>
        <w:t xml:space="preserve">. </w:t>
      </w:r>
      <w:proofErr w:type="spellStart"/>
      <w:r w:rsidRPr="003327E3">
        <w:rPr>
          <w:lang w:val="en-US"/>
        </w:rPr>
        <w:t>infografika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bannery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profilová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část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apod</w:t>
      </w:r>
      <w:proofErr w:type="spellEnd"/>
      <w:r w:rsidRPr="003327E3">
        <w:rPr>
          <w:lang w:val="en-US"/>
        </w:rPr>
        <w:t>.</w:t>
      </w:r>
      <w:r w:rsidRPr="003327E3">
        <w:t> </w:t>
      </w:r>
    </w:p>
    <w:p w14:paraId="1F114C5A" w14:textId="6E977E2A" w:rsidR="00FC0838" w:rsidRPr="009D013E" w:rsidRDefault="00FC0838" w:rsidP="00FC0838">
      <w:pPr>
        <w:numPr>
          <w:ilvl w:val="0"/>
          <w:numId w:val="37"/>
        </w:numPr>
      </w:pPr>
      <w:proofErr w:type="spellStart"/>
      <w:r w:rsidRPr="003327E3">
        <w:rPr>
          <w:lang w:val="en-US"/>
        </w:rPr>
        <w:t>Vizuální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návrhy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plakátů</w:t>
      </w:r>
      <w:proofErr w:type="spellEnd"/>
      <w:r w:rsidRPr="003327E3">
        <w:rPr>
          <w:lang w:val="en-US"/>
        </w:rPr>
        <w:t xml:space="preserve">, </w:t>
      </w:r>
      <w:proofErr w:type="spellStart"/>
      <w:r w:rsidRPr="003327E3">
        <w:rPr>
          <w:lang w:val="en-US"/>
        </w:rPr>
        <w:t>powerpoint</w:t>
      </w:r>
      <w:proofErr w:type="spellEnd"/>
      <w:r w:rsidRPr="003327E3">
        <w:rPr>
          <w:lang w:val="en-US"/>
        </w:rPr>
        <w:t xml:space="preserve"> </w:t>
      </w:r>
      <w:proofErr w:type="spellStart"/>
      <w:r w:rsidRPr="003327E3">
        <w:rPr>
          <w:lang w:val="en-US"/>
        </w:rPr>
        <w:t>prezentace</w:t>
      </w:r>
      <w:proofErr w:type="spellEnd"/>
      <w:r w:rsidRPr="003327E3">
        <w:rPr>
          <w:lang w:val="en-US"/>
        </w:rPr>
        <w:t xml:space="preserve"> (16:9), newsletter. </w:t>
      </w:r>
      <w:r w:rsidRPr="003327E3">
        <w:t> </w:t>
      </w:r>
    </w:p>
    <w:p w14:paraId="60EC7563" w14:textId="2467CCB1" w:rsidR="003327E3" w:rsidRDefault="003327E3" w:rsidP="003327E3">
      <w:pPr>
        <w:spacing w:before="120"/>
        <w:jc w:val="both"/>
      </w:pPr>
      <w:r>
        <w:t xml:space="preserve">D: </w:t>
      </w:r>
      <w:r w:rsidRPr="00DB54B1">
        <w:t>Vytvoření návrhu grafického návrhu letáku</w:t>
      </w:r>
      <w:r>
        <w:t xml:space="preserve"> (2 strany; CZ/AJ verze)</w:t>
      </w:r>
      <w:r w:rsidRPr="00DB54B1">
        <w:t>, brožury</w:t>
      </w:r>
      <w:r>
        <w:t xml:space="preserve"> (max 20 stran; CZ/AJ verze)</w:t>
      </w:r>
      <w:r w:rsidRPr="00DB54B1">
        <w:t xml:space="preserve"> a </w:t>
      </w:r>
      <w:proofErr w:type="spellStart"/>
      <w:r w:rsidRPr="00DB54B1">
        <w:t>roll-upu</w:t>
      </w:r>
      <w:proofErr w:type="spellEnd"/>
      <w:r w:rsidRPr="00DB54B1">
        <w:t xml:space="preserve"> k dané problematice.</w:t>
      </w:r>
    </w:p>
    <w:p w14:paraId="62165237" w14:textId="77777777" w:rsidR="003169D2" w:rsidRDefault="003169D2" w:rsidP="003327E3">
      <w:pPr>
        <w:sectPr w:rsidR="003169D2" w:rsidSect="00E02460">
          <w:head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BAF59D7" w14:textId="01F321E4" w:rsidR="003327E3" w:rsidRPr="003327E3" w:rsidRDefault="003327E3" w:rsidP="003327E3"/>
    <w:p w14:paraId="744CC977" w14:textId="0326515A" w:rsidR="00C875FF" w:rsidRDefault="00C875FF"/>
    <w:p w14:paraId="3FBC46C8" w14:textId="77777777" w:rsidR="000E6DB1" w:rsidRDefault="000E6DB1" w:rsidP="006E3D7D">
      <w:pPr>
        <w:jc w:val="center"/>
        <w:rPr>
          <w:b/>
          <w:bCs/>
        </w:rPr>
      </w:pPr>
    </w:p>
    <w:p w14:paraId="195DF9AF" w14:textId="77777777" w:rsidR="000E6DB1" w:rsidRDefault="000E6DB1" w:rsidP="006E3D7D">
      <w:pPr>
        <w:jc w:val="center"/>
        <w:rPr>
          <w:b/>
          <w:bCs/>
        </w:rPr>
      </w:pPr>
    </w:p>
    <w:p w14:paraId="514F0648" w14:textId="77777777" w:rsidR="000E6DB1" w:rsidRDefault="000E6DB1" w:rsidP="006E3D7D">
      <w:pPr>
        <w:jc w:val="center"/>
        <w:rPr>
          <w:b/>
          <w:bCs/>
        </w:rPr>
      </w:pPr>
    </w:p>
    <w:p w14:paraId="781E3F50" w14:textId="45405D7B" w:rsidR="001E400F" w:rsidRDefault="001E400F" w:rsidP="006E3D7D">
      <w:pPr>
        <w:jc w:val="center"/>
        <w:rPr>
          <w:b/>
          <w:bCs/>
        </w:rPr>
      </w:pPr>
      <w:r w:rsidRPr="00700332">
        <w:rPr>
          <w:b/>
          <w:bCs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1684"/>
        <w:gridCol w:w="1686"/>
        <w:gridCol w:w="1684"/>
        <w:gridCol w:w="1709"/>
      </w:tblGrid>
      <w:tr w:rsidR="001E400F" w:rsidRPr="00700332" w14:paraId="64028B7E" w14:textId="77777777" w:rsidTr="40F021BE">
        <w:trPr>
          <w:trHeight w:hRule="exact" w:val="101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6DD" w14:textId="77777777" w:rsidR="001E400F" w:rsidRPr="00700332" w:rsidRDefault="001E400F" w:rsidP="006E3D7D">
            <w:pPr>
              <w:rPr>
                <w:b/>
              </w:rPr>
            </w:pPr>
            <w:r w:rsidRPr="00700332">
              <w:rPr>
                <w:b/>
              </w:rPr>
              <w:t>Název veřejné zakázky: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CDE" w14:textId="685FCD3E" w:rsidR="001E400F" w:rsidRPr="00700332" w:rsidRDefault="001E400F" w:rsidP="40F021BE">
            <w:pPr>
              <w:pStyle w:val="paragraph"/>
              <w:spacing w:before="0" w:beforeAutospacing="0" w:after="0" w:afterAutospacing="0"/>
              <w:ind w:left="270" w:hanging="270"/>
              <w:jc w:val="center"/>
              <w:rPr>
                <w:b/>
                <w:bCs/>
              </w:rPr>
            </w:pPr>
          </w:p>
          <w:p w14:paraId="1A2ED77E" w14:textId="5981E8F7" w:rsidR="001E400F" w:rsidRPr="00700332" w:rsidRDefault="48359861" w:rsidP="40F021BE">
            <w:pPr>
              <w:pStyle w:val="paragraph"/>
              <w:spacing w:before="0" w:beforeAutospacing="0" w:after="0" w:afterAutospacing="0"/>
              <w:ind w:left="270" w:hanging="270"/>
              <w:jc w:val="center"/>
              <w:rPr>
                <w:b/>
                <w:bCs/>
              </w:rPr>
            </w:pPr>
            <w:r w:rsidRPr="40F021BE">
              <w:rPr>
                <w:b/>
                <w:bCs/>
              </w:rPr>
              <w:t>„Vizuální identita Metropolitních oblastí a aglomerací ČR“</w:t>
            </w:r>
          </w:p>
          <w:p w14:paraId="5EC5C424" w14:textId="268C3EAC" w:rsidR="001E400F" w:rsidRPr="00700332" w:rsidRDefault="001E400F" w:rsidP="40F021BE">
            <w:pPr>
              <w:jc w:val="center"/>
              <w:rPr>
                <w:b/>
                <w:bCs/>
              </w:rPr>
            </w:pPr>
          </w:p>
        </w:tc>
      </w:tr>
      <w:tr w:rsidR="001E400F" w:rsidRPr="00700332" w14:paraId="4924F286" w14:textId="77777777" w:rsidTr="40F021BE">
        <w:trPr>
          <w:trHeight w:val="342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8A0" w14:textId="1056459A" w:rsidR="001E400F" w:rsidRPr="00700332" w:rsidRDefault="5E3F5EE4" w:rsidP="006E3D7D">
            <w:r w:rsidRPr="2B0B9ABE">
              <w:rPr>
                <w:b/>
                <w:bCs/>
              </w:rPr>
              <w:t>Dodavatel</w:t>
            </w:r>
            <w:r w:rsidR="001E400F" w:rsidRPr="2B0B9ABE">
              <w:rPr>
                <w:b/>
                <w:bCs/>
              </w:rPr>
              <w:t>/-</w:t>
            </w:r>
            <w:r w:rsidR="77714F48" w:rsidRPr="2B0B9ABE">
              <w:rPr>
                <w:b/>
                <w:bCs/>
              </w:rPr>
              <w:t>é</w:t>
            </w:r>
            <w:r w:rsidR="001E400F" w:rsidRPr="2B0B9ABE">
              <w:rPr>
                <w:b/>
                <w:bCs/>
              </w:rPr>
              <w:t>:</w:t>
            </w:r>
          </w:p>
        </w:tc>
      </w:tr>
      <w:tr w:rsidR="001E400F" w:rsidRPr="00700332" w14:paraId="49C4A5E0" w14:textId="77777777" w:rsidTr="40F021BE">
        <w:trPr>
          <w:trHeight w:val="4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D4B3" w14:textId="77777777" w:rsidR="001E400F" w:rsidRPr="00700332" w:rsidRDefault="001E400F" w:rsidP="006E3D7D">
            <w:r w:rsidRPr="00700332">
              <w:t>Obchodní firma/ název/jméno a příjmení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E96" w14:textId="77777777" w:rsidR="001E400F" w:rsidRPr="00700332" w:rsidRDefault="001E400F" w:rsidP="006E3D7D"/>
        </w:tc>
      </w:tr>
      <w:tr w:rsidR="001E400F" w:rsidRPr="00700332" w14:paraId="0444BFE9" w14:textId="77777777" w:rsidTr="40F021BE">
        <w:trPr>
          <w:trHeight w:val="5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3DC" w14:textId="77777777" w:rsidR="001E400F" w:rsidRPr="00700332" w:rsidRDefault="001E400F" w:rsidP="006E3D7D">
            <w:r w:rsidRPr="00700332">
              <w:t>Sídlo/místo podnikání/bydliště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AE77" w14:textId="77777777" w:rsidR="001E400F" w:rsidRPr="00700332" w:rsidRDefault="001E400F" w:rsidP="006E3D7D"/>
        </w:tc>
      </w:tr>
      <w:tr w:rsidR="001E400F" w:rsidRPr="00700332" w14:paraId="00766062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F55B" w14:textId="77777777" w:rsidR="001E400F" w:rsidRPr="00700332" w:rsidRDefault="001E400F" w:rsidP="006E3D7D">
            <w:r w:rsidRPr="00700332">
              <w:t>Právní forma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83D" w14:textId="77777777" w:rsidR="001E400F" w:rsidRPr="00700332" w:rsidRDefault="001E400F" w:rsidP="006E3D7D"/>
        </w:tc>
      </w:tr>
      <w:tr w:rsidR="001E400F" w:rsidRPr="00700332" w14:paraId="72D1C5DB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495F" w14:textId="77777777" w:rsidR="001E400F" w:rsidRPr="00700332" w:rsidRDefault="001E400F" w:rsidP="006E3D7D">
            <w:r w:rsidRPr="00700332">
              <w:t>Obchodní rejstřík/živnostenský rejstřík/jiná evidence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D13" w14:textId="77777777" w:rsidR="001E400F" w:rsidRPr="00700332" w:rsidRDefault="005672E5" w:rsidP="006E3D7D">
            <w:r w:rsidRPr="00BD5515">
              <w:rPr>
                <w:i/>
              </w:rPr>
              <w:t xml:space="preserve">zde uvést i </w:t>
            </w:r>
            <w:r>
              <w:rPr>
                <w:i/>
              </w:rPr>
              <w:t xml:space="preserve">hypertextový </w:t>
            </w:r>
            <w:r w:rsidRPr="00BD5515">
              <w:rPr>
                <w:i/>
              </w:rPr>
              <w:t xml:space="preserve">odkaz </w:t>
            </w:r>
            <w:r>
              <w:rPr>
                <w:i/>
              </w:rPr>
              <w:t>na veřejnou část dané evidence</w:t>
            </w:r>
          </w:p>
        </w:tc>
      </w:tr>
      <w:tr w:rsidR="001E400F" w:rsidRPr="00700332" w14:paraId="51CD81A1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83C" w14:textId="77777777" w:rsidR="001E400F" w:rsidRPr="00700332" w:rsidRDefault="001E400F" w:rsidP="006E3D7D">
            <w:r w:rsidRPr="00700332">
              <w:t>IČ</w:t>
            </w:r>
            <w:r w:rsidR="00452337">
              <w:t>O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125E" w14:textId="77777777" w:rsidR="001E400F" w:rsidRPr="00700332" w:rsidRDefault="001E400F" w:rsidP="006E3D7D"/>
        </w:tc>
      </w:tr>
      <w:tr w:rsidR="001E400F" w:rsidRPr="00700332" w14:paraId="2E6D3A3A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E364" w14:textId="77777777" w:rsidR="001E400F" w:rsidRPr="00700332" w:rsidRDefault="001E400F" w:rsidP="006E3D7D">
            <w:r w:rsidRPr="00700332">
              <w:t>DIČ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4E5E" w14:textId="77777777" w:rsidR="001E400F" w:rsidRPr="00700332" w:rsidRDefault="001E400F" w:rsidP="006E3D7D"/>
        </w:tc>
      </w:tr>
      <w:tr w:rsidR="001E400F" w:rsidRPr="00700332" w14:paraId="22B711B6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0E3" w14:textId="77777777" w:rsidR="001E400F" w:rsidRPr="00700332" w:rsidRDefault="001E400F" w:rsidP="006E3D7D">
            <w:r w:rsidRPr="00700332">
              <w:t>Je/není plátce DPH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8AE" w14:textId="77777777" w:rsidR="001E400F" w:rsidRPr="00700332" w:rsidRDefault="001E400F" w:rsidP="006E3D7D"/>
        </w:tc>
      </w:tr>
      <w:tr w:rsidR="001E400F" w:rsidRPr="00700332" w14:paraId="6859FF97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2864" w14:textId="77777777" w:rsidR="001E400F" w:rsidRPr="00700332" w:rsidRDefault="001E400F" w:rsidP="006E3D7D">
            <w:r w:rsidRPr="00700332">
              <w:t>Bankovní ústav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3CA" w14:textId="77777777" w:rsidR="001E400F" w:rsidRPr="00700332" w:rsidRDefault="001E400F" w:rsidP="006E3D7D"/>
        </w:tc>
      </w:tr>
      <w:tr w:rsidR="001E400F" w:rsidRPr="00700332" w14:paraId="5C687CA5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416F" w14:textId="77777777" w:rsidR="001E400F" w:rsidRPr="00700332" w:rsidRDefault="001E400F" w:rsidP="006E3D7D">
            <w:r w:rsidRPr="00700332">
              <w:t>Číslo účtu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3808" w14:textId="77777777" w:rsidR="001E400F" w:rsidRPr="00700332" w:rsidRDefault="001E400F" w:rsidP="006E3D7D"/>
        </w:tc>
      </w:tr>
      <w:tr w:rsidR="001E400F" w:rsidRPr="00700332" w14:paraId="4C715C03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BCE" w14:textId="347A1970" w:rsidR="001E400F" w:rsidRPr="00700332" w:rsidRDefault="001E400F" w:rsidP="006E3D7D">
            <w:r w:rsidRPr="00700332">
              <w:t xml:space="preserve">Osoba oprávněná jednat za nebo jménem </w:t>
            </w:r>
            <w:r w:rsidR="5C06D6BB">
              <w:t>dodavatele</w:t>
            </w:r>
            <w:r w:rsidRPr="00700332">
              <w:t>, funkce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CF6" w14:textId="77777777" w:rsidR="001E400F" w:rsidRPr="00700332" w:rsidRDefault="001E400F" w:rsidP="006E3D7D"/>
        </w:tc>
      </w:tr>
      <w:tr w:rsidR="001E400F" w:rsidRPr="00700332" w14:paraId="6DF6802B" w14:textId="77777777" w:rsidTr="40F021BE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658" w14:textId="77777777" w:rsidR="001E400F" w:rsidRPr="00700332" w:rsidRDefault="001E400F" w:rsidP="006E3D7D">
            <w:r w:rsidRPr="00700332">
              <w:t>Telefon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CFC" w14:textId="77777777" w:rsidR="001E400F" w:rsidRPr="00700332" w:rsidRDefault="001E400F" w:rsidP="006E3D7D"/>
        </w:tc>
      </w:tr>
      <w:tr w:rsidR="001E400F" w:rsidRPr="00700332" w14:paraId="62449976" w14:textId="77777777" w:rsidTr="40F021BE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C8C" w14:textId="77777777" w:rsidR="001E400F" w:rsidRPr="00700332" w:rsidRDefault="001E400F" w:rsidP="006E3D7D">
            <w:r w:rsidRPr="00700332">
              <w:t>E-mail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221" w14:textId="77777777" w:rsidR="001E400F" w:rsidRPr="00700332" w:rsidRDefault="001E400F" w:rsidP="006E3D7D"/>
        </w:tc>
      </w:tr>
      <w:tr w:rsidR="001E400F" w:rsidRPr="00700332" w14:paraId="609E6748" w14:textId="77777777" w:rsidTr="40F021BE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3D06" w14:textId="4496DEA8" w:rsidR="001E400F" w:rsidRPr="00700332" w:rsidRDefault="001E400F" w:rsidP="006E3D7D">
            <w:r w:rsidRPr="00700332">
              <w:rPr>
                <w:b/>
                <w:i/>
              </w:rPr>
              <w:t xml:space="preserve">POKYNY PRO </w:t>
            </w:r>
            <w:r w:rsidR="30AEE56C" w:rsidRPr="2B0B9ABE">
              <w:rPr>
                <w:b/>
                <w:bCs/>
                <w:i/>
                <w:iCs/>
              </w:rPr>
              <w:t>DODAVATELE</w:t>
            </w:r>
            <w:r w:rsidRPr="00700332">
              <w:rPr>
                <w:b/>
                <w:i/>
              </w:rPr>
              <w:t xml:space="preserve">: 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045D" w14:textId="765CE677" w:rsidR="001E400F" w:rsidRPr="00700332" w:rsidRDefault="006E3D7D" w:rsidP="006E3D7D">
            <w:r w:rsidRPr="004437FC">
              <w:rPr>
                <w:i/>
              </w:rPr>
              <w:t>P</w:t>
            </w:r>
            <w:r w:rsidR="001E400F" w:rsidRPr="004437FC">
              <w:rPr>
                <w:i/>
              </w:rPr>
              <w:t xml:space="preserve">ři zpracování nabídky budou v případě sdružení </w:t>
            </w:r>
            <w:r w:rsidR="1BCD8E88" w:rsidRPr="2B0B9ABE">
              <w:rPr>
                <w:i/>
                <w:iCs/>
              </w:rPr>
              <w:t>dodavatelů</w:t>
            </w:r>
            <w:r w:rsidR="001E400F" w:rsidRPr="004437FC">
              <w:rPr>
                <w:i/>
              </w:rPr>
              <w:t xml:space="preserve"> uvedeny v krycím listu údaje o všech sdružených </w:t>
            </w:r>
            <w:r w:rsidR="7B17112F" w:rsidRPr="2B0B9ABE">
              <w:rPr>
                <w:i/>
                <w:iCs/>
              </w:rPr>
              <w:t>dodavatelích</w:t>
            </w:r>
            <w:r w:rsidR="001E400F" w:rsidRPr="004437FC">
              <w:rPr>
                <w:i/>
              </w:rPr>
              <w:t>, a to přidáním dalších řádků tabulky ve stejné struktuře jako výše.</w:t>
            </w:r>
          </w:p>
        </w:tc>
      </w:tr>
      <w:tr w:rsidR="001E400F" w:rsidRPr="00700332" w14:paraId="3C4E0A5B" w14:textId="77777777" w:rsidTr="40F021BE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CF8" w14:textId="77777777" w:rsidR="001E400F" w:rsidRPr="00700332" w:rsidRDefault="001E400F" w:rsidP="006E3D7D">
            <w:r w:rsidRPr="00700332">
              <w:t>Osoba oprávněná jednat za ostatní účastníky sdružení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A95" w14:textId="77777777" w:rsidR="001E400F" w:rsidRPr="00700332" w:rsidRDefault="001E400F" w:rsidP="006E3D7D"/>
        </w:tc>
      </w:tr>
      <w:tr w:rsidR="001E400F" w:rsidRPr="00700332" w14:paraId="4C96A97B" w14:textId="77777777" w:rsidTr="40F021BE">
        <w:trPr>
          <w:trHeight w:val="341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FB1" w14:textId="77777777" w:rsidR="001E400F" w:rsidRPr="00700332" w:rsidRDefault="001E400F" w:rsidP="006E3D7D">
            <w:r w:rsidRPr="00700332">
              <w:rPr>
                <w:b/>
              </w:rPr>
              <w:t>Veřejná zakázka:</w:t>
            </w:r>
          </w:p>
        </w:tc>
      </w:tr>
      <w:tr w:rsidR="001E400F" w:rsidRPr="00700332" w14:paraId="34CFB658" w14:textId="77777777" w:rsidTr="40F021B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5A8" w14:textId="77777777" w:rsidR="001E400F" w:rsidRPr="00700332" w:rsidRDefault="001E400F" w:rsidP="006E3D7D">
            <w:pPr>
              <w:rPr>
                <w:b/>
              </w:rPr>
            </w:pPr>
            <w:r w:rsidRPr="00700332">
              <w:rPr>
                <w:b/>
              </w:rPr>
              <w:t>Cenové</w:t>
            </w:r>
          </w:p>
          <w:p w14:paraId="0D0FECEF" w14:textId="77777777" w:rsidR="001E400F" w:rsidRPr="00700332" w:rsidRDefault="001E400F" w:rsidP="006E3D7D">
            <w:pPr>
              <w:rPr>
                <w:b/>
              </w:rPr>
            </w:pPr>
            <w:r w:rsidRPr="00700332">
              <w:rPr>
                <w:b/>
              </w:rPr>
              <w:t>údaje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A91" w14:textId="77777777" w:rsidR="001E400F" w:rsidRPr="007C354A" w:rsidRDefault="00452337" w:rsidP="006E3D7D">
            <w:pPr>
              <w:jc w:val="center"/>
              <w:rPr>
                <w:b/>
              </w:rPr>
            </w:pPr>
            <w:r w:rsidRPr="007C354A">
              <w:rPr>
                <w:b/>
              </w:rPr>
              <w:t xml:space="preserve">nabídková cena, tj. </w:t>
            </w:r>
            <w:r w:rsidR="001E400F" w:rsidRPr="007C354A">
              <w:rPr>
                <w:b/>
              </w:rPr>
              <w:t>cena bez DPH v Kč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9ED" w14:textId="77777777" w:rsidR="001E400F" w:rsidRPr="00700332" w:rsidRDefault="001E400F" w:rsidP="006E3D7D">
            <w:pPr>
              <w:jc w:val="center"/>
            </w:pPr>
            <w:r w:rsidRPr="00700332">
              <w:t>sazba DPH</w:t>
            </w:r>
          </w:p>
          <w:p w14:paraId="706A8D59" w14:textId="77777777" w:rsidR="001E400F" w:rsidRPr="00700332" w:rsidRDefault="001E400F" w:rsidP="006E3D7D">
            <w:pPr>
              <w:jc w:val="center"/>
            </w:pPr>
            <w:r w:rsidRPr="00700332">
              <w:t>v 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90E2" w14:textId="77777777" w:rsidR="001E400F" w:rsidRPr="00700332" w:rsidRDefault="001E400F" w:rsidP="006E3D7D">
            <w:pPr>
              <w:jc w:val="center"/>
            </w:pPr>
            <w:r w:rsidRPr="00700332">
              <w:t>výše DPH v 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A2F" w14:textId="77777777" w:rsidR="001E400F" w:rsidRPr="00700332" w:rsidRDefault="001E400F" w:rsidP="006E3D7D">
            <w:pPr>
              <w:jc w:val="center"/>
              <w:rPr>
                <w:b/>
              </w:rPr>
            </w:pPr>
            <w:r w:rsidRPr="00700332">
              <w:rPr>
                <w:b/>
              </w:rPr>
              <w:t>cena včetně DPH v Kč</w:t>
            </w:r>
          </w:p>
        </w:tc>
      </w:tr>
      <w:tr w:rsidR="001E400F" w:rsidRPr="00700332" w14:paraId="425B08ED" w14:textId="77777777" w:rsidTr="40F021BE">
        <w:trPr>
          <w:trHeight w:val="37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1ED2" w14:textId="40CDAD75" w:rsidR="001E400F" w:rsidRPr="00700332" w:rsidRDefault="7F2075EC" w:rsidP="2B0B9ABE">
            <w:pPr>
              <w:spacing w:line="259" w:lineRule="auto"/>
            </w:pPr>
            <w:r>
              <w:t>Cena za dílo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163" w14:textId="77777777" w:rsidR="001E400F" w:rsidRPr="00700332" w:rsidRDefault="001E400F" w:rsidP="006E3D7D">
            <w:pPr>
              <w:jc w:val="center"/>
            </w:pPr>
          </w:p>
          <w:p w14:paraId="5231FE85" w14:textId="77777777" w:rsidR="001E400F" w:rsidRPr="00700332" w:rsidRDefault="001E400F" w:rsidP="006E3D7D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24F" w14:textId="77777777" w:rsidR="001E400F" w:rsidRPr="00700332" w:rsidRDefault="001E400F" w:rsidP="006E3D7D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36A" w14:textId="77777777" w:rsidR="001E400F" w:rsidRPr="00700332" w:rsidRDefault="001E400F" w:rsidP="006E3D7D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76DE" w14:textId="77777777" w:rsidR="001E400F" w:rsidRPr="00700332" w:rsidRDefault="001E400F" w:rsidP="006E3D7D">
            <w:pPr>
              <w:jc w:val="center"/>
              <w:rPr>
                <w:b/>
              </w:rPr>
            </w:pPr>
          </w:p>
        </w:tc>
      </w:tr>
      <w:tr w:rsidR="001E400F" w:rsidRPr="00700332" w14:paraId="5698D1AB" w14:textId="77777777" w:rsidTr="40F021BE">
        <w:trPr>
          <w:trHeight w:val="6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84D" w14:textId="77777777" w:rsidR="001E400F" w:rsidRPr="00700332" w:rsidRDefault="001E400F" w:rsidP="006E3D7D">
            <w:pPr>
              <w:rPr>
                <w:b/>
              </w:rPr>
            </w:pPr>
            <w:r w:rsidRPr="00700332">
              <w:rPr>
                <w:b/>
              </w:rPr>
              <w:t>Otisk razítka a podpis oprávněné osoby/osob: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B837" w14:textId="77777777" w:rsidR="001E400F" w:rsidRPr="00700332" w:rsidRDefault="001E400F" w:rsidP="006E3D7D"/>
          <w:p w14:paraId="77E7F270" w14:textId="77777777" w:rsidR="001E400F" w:rsidRDefault="001E400F" w:rsidP="006E3D7D"/>
          <w:p w14:paraId="184CB870" w14:textId="77777777" w:rsidR="00D454C1" w:rsidRPr="00700332" w:rsidRDefault="00D454C1" w:rsidP="006E3D7D"/>
          <w:p w14:paraId="524C5D01" w14:textId="77777777" w:rsidR="001E400F" w:rsidRPr="00700332" w:rsidRDefault="001E400F" w:rsidP="006E3D7D"/>
        </w:tc>
      </w:tr>
    </w:tbl>
    <w:p w14:paraId="6F36A858" w14:textId="77777777" w:rsidR="007E388E" w:rsidRDefault="007E388E" w:rsidP="007E388E">
      <w:pPr>
        <w:sectPr w:rsidR="007E388E" w:rsidSect="003169D2">
          <w:headerReference w:type="default" r:id="rId21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150687C" w14:textId="065F93E3" w:rsidR="63ACB3D1" w:rsidRDefault="63ACB3D1" w:rsidP="63ACB3D1">
      <w:pPr>
        <w:ind w:left="280" w:hanging="280"/>
        <w:jc w:val="center"/>
        <w:rPr>
          <w:b/>
          <w:bCs/>
        </w:rPr>
      </w:pPr>
    </w:p>
    <w:p w14:paraId="5D3DB8DD" w14:textId="12BC7F6C" w:rsidR="00D229B9" w:rsidRDefault="00D229B9" w:rsidP="00844F4E">
      <w:pPr>
        <w:ind w:left="280" w:hanging="280"/>
        <w:jc w:val="center"/>
        <w:rPr>
          <w:b/>
          <w:sz w:val="28"/>
          <w:szCs w:val="28"/>
        </w:rPr>
      </w:pPr>
      <w:r w:rsidRPr="7E95D8DA">
        <w:rPr>
          <w:b/>
          <w:sz w:val="28"/>
          <w:szCs w:val="28"/>
        </w:rPr>
        <w:t>S</w:t>
      </w:r>
      <w:r w:rsidR="00844F4E" w:rsidRPr="7E95D8DA">
        <w:rPr>
          <w:b/>
          <w:sz w:val="28"/>
          <w:szCs w:val="28"/>
        </w:rPr>
        <w:t>mlouva</w:t>
      </w:r>
      <w:r w:rsidR="00047AD7" w:rsidRPr="7E95D8DA">
        <w:rPr>
          <w:b/>
          <w:sz w:val="28"/>
          <w:szCs w:val="28"/>
        </w:rPr>
        <w:t xml:space="preserve"> o dílo</w:t>
      </w:r>
      <w:r w:rsidRPr="7E95D8DA">
        <w:rPr>
          <w:b/>
          <w:sz w:val="28"/>
          <w:szCs w:val="28"/>
        </w:rPr>
        <w:t xml:space="preserve"> č. …</w:t>
      </w:r>
    </w:p>
    <w:p w14:paraId="39067563" w14:textId="0960709E" w:rsidR="63ACB3D1" w:rsidRDefault="63ACB3D1" w:rsidP="63ACB3D1">
      <w:pPr>
        <w:ind w:left="280" w:hanging="280"/>
        <w:jc w:val="center"/>
        <w:rPr>
          <w:b/>
          <w:bCs/>
        </w:rPr>
      </w:pPr>
    </w:p>
    <w:p w14:paraId="68F79D11" w14:textId="28E96DF5" w:rsidR="00FB1DB1" w:rsidRDefault="65CA9B1E" w:rsidP="40F021BE">
      <w:pPr>
        <w:ind w:left="270" w:hanging="270"/>
        <w:jc w:val="center"/>
      </w:pPr>
      <w:r w:rsidRPr="40F021BE">
        <w:t>v souvislosti s</w:t>
      </w:r>
      <w:r w:rsidR="2518F094" w:rsidRPr="40F021BE">
        <w:t> </w:t>
      </w:r>
      <w:r w:rsidR="6F5B595F" w:rsidRPr="40F021BE">
        <w:t>„Vizuální identit</w:t>
      </w:r>
      <w:r w:rsidR="5BFEC01D" w:rsidRPr="40F021BE">
        <w:t>ou</w:t>
      </w:r>
      <w:r w:rsidR="6F5B595F" w:rsidRPr="40F021BE">
        <w:t xml:space="preserve"> Metropolitních oblastí a aglomerací ČR“</w:t>
      </w:r>
    </w:p>
    <w:p w14:paraId="338FF7A4" w14:textId="0DBAB72F" w:rsidR="00FB1DB1" w:rsidRDefault="1B5271EB" w:rsidP="40F021BE">
      <w:pPr>
        <w:ind w:left="280" w:hanging="280"/>
        <w:jc w:val="center"/>
        <w:rPr>
          <w:b/>
          <w:bCs/>
        </w:rPr>
      </w:pPr>
      <w:r>
        <w:t>uzavřená dle § 2586 a následujícího zákona č. 89/2012 Sb., občanský zákoník, ve znění pozdějších předpisů (dále jen „občanský zákoník“), níže uvedeného dne, měsíce a roku mezi těmito smluvními stranami:</w:t>
      </w:r>
    </w:p>
    <w:p w14:paraId="351C2233" w14:textId="77777777" w:rsidR="00FB1DB1" w:rsidRDefault="00FB1DB1" w:rsidP="00FB1DB1">
      <w:pPr>
        <w:pStyle w:val="NoSpacing"/>
      </w:pPr>
    </w:p>
    <w:p w14:paraId="571BEC8A" w14:textId="507034F9" w:rsidR="0A0E7690" w:rsidRDefault="0A0E7690" w:rsidP="0A0E7690">
      <w:pPr>
        <w:pStyle w:val="NoSpacing"/>
      </w:pPr>
    </w:p>
    <w:p w14:paraId="1358CD48" w14:textId="77777777" w:rsidR="00FB1DB1" w:rsidRPr="00D522C1" w:rsidRDefault="00FB1DB1" w:rsidP="00FB1DB1">
      <w:pPr>
        <w:pStyle w:val="NoSpacing"/>
        <w:rPr>
          <w:b/>
        </w:rPr>
      </w:pPr>
      <w:r>
        <w:rPr>
          <w:b/>
        </w:rPr>
        <w:t>s</w:t>
      </w:r>
      <w:r w:rsidRPr="00D522C1">
        <w:rPr>
          <w:b/>
        </w:rPr>
        <w:t>tatutární město Brno</w:t>
      </w:r>
    </w:p>
    <w:p w14:paraId="267574DA" w14:textId="4E7576CC" w:rsidR="70D66363" w:rsidRDefault="70D66363" w:rsidP="70D66363">
      <w:pPr>
        <w:pStyle w:val="NoSpacing"/>
        <w:rPr>
          <w:b/>
          <w:bCs/>
        </w:rPr>
      </w:pPr>
    </w:p>
    <w:p w14:paraId="50C7F2F6" w14:textId="77777777" w:rsidR="00FB1DB1" w:rsidRDefault="00FB1DB1" w:rsidP="00FB1DB1">
      <w:pPr>
        <w:pStyle w:val="NoSpacing"/>
      </w:pPr>
      <w:r>
        <w:t>se sídlem:</w:t>
      </w:r>
      <w:r>
        <w:tab/>
      </w:r>
      <w:r>
        <w:tab/>
        <w:t>Dominikánské náměstí 196/1, 602 00 Brno</w:t>
      </w:r>
    </w:p>
    <w:p w14:paraId="21C09CDD" w14:textId="77777777" w:rsidR="00FB1DB1" w:rsidRDefault="00FB1DB1" w:rsidP="00FB1DB1">
      <w:pPr>
        <w:pStyle w:val="NoSpacing"/>
      </w:pPr>
      <w:r>
        <w:t>IČO:</w:t>
      </w:r>
      <w:r>
        <w:tab/>
      </w:r>
      <w:r>
        <w:tab/>
      </w:r>
      <w:r>
        <w:tab/>
        <w:t>44992785</w:t>
      </w:r>
    </w:p>
    <w:p w14:paraId="754E876C" w14:textId="77777777" w:rsidR="00FB1DB1" w:rsidRDefault="00FB1DB1" w:rsidP="00FB1DB1">
      <w:pPr>
        <w:pStyle w:val="NoSpacing"/>
      </w:pPr>
      <w:r>
        <w:t>DIČ:</w:t>
      </w:r>
      <w:r>
        <w:tab/>
      </w:r>
      <w:r>
        <w:tab/>
      </w:r>
      <w:r>
        <w:tab/>
        <w:t>CZ44992785 (plátce DPH)</w:t>
      </w:r>
    </w:p>
    <w:p w14:paraId="60AE42D4" w14:textId="77777777" w:rsidR="00FB1DB1" w:rsidRDefault="00FB1DB1" w:rsidP="00FB1DB1">
      <w:pPr>
        <w:pStyle w:val="NoSpacing"/>
      </w:pPr>
      <w:r>
        <w:t>zastoupené:</w:t>
      </w:r>
      <w:r>
        <w:tab/>
      </w:r>
      <w:r>
        <w:tab/>
        <w:t>JUDr. Markétou Vaňkovou, primátorkou</w:t>
      </w:r>
    </w:p>
    <w:p w14:paraId="65A02B6D" w14:textId="77777777" w:rsidR="00495585" w:rsidRDefault="00FB1DB1" w:rsidP="00FB1DB1">
      <w:pPr>
        <w:pStyle w:val="NoSpacing"/>
      </w:pPr>
      <w:r>
        <w:t xml:space="preserve">pověřený podpisem smlouvy: </w:t>
      </w:r>
      <w:r w:rsidR="00495585" w:rsidRPr="00495585">
        <w:t xml:space="preserve">Mgr. František Kubeš, Ph.D., vedoucí Odboru strategického </w:t>
      </w:r>
    </w:p>
    <w:p w14:paraId="18469DF4" w14:textId="13E22488" w:rsidR="00FB1DB1" w:rsidRDefault="00495585" w:rsidP="00DB67FD">
      <w:pPr>
        <w:pStyle w:val="NoSpacing"/>
        <w:ind w:left="2127"/>
      </w:pPr>
      <w:r w:rsidRPr="00495585">
        <w:t>rozvoje a spolupráce Magistrátu města Brna</w:t>
      </w:r>
    </w:p>
    <w:p w14:paraId="6826526F" w14:textId="0B6A1715" w:rsidR="00FB1DB1" w:rsidRDefault="00FB1DB1" w:rsidP="00FB1DB1">
      <w:pPr>
        <w:pStyle w:val="NoSpacing"/>
      </w:pPr>
      <w:r>
        <w:t>kontaktní osoba:</w:t>
      </w:r>
      <w:r>
        <w:tab/>
      </w:r>
      <w:r w:rsidR="00561D32" w:rsidRPr="00DB67FD">
        <w:t xml:space="preserve">Ing. </w:t>
      </w:r>
      <w:r w:rsidR="0083530A" w:rsidRPr="00DB67FD">
        <w:t>Soňa Raszkov</w:t>
      </w:r>
      <w:r w:rsidR="004531EC" w:rsidRPr="00DB67FD">
        <w:t>á</w:t>
      </w:r>
      <w:r w:rsidR="00495585" w:rsidRPr="00DB67FD">
        <w:t xml:space="preserve">, +420 542 172 </w:t>
      </w:r>
      <w:r w:rsidR="004531EC" w:rsidRPr="00DB67FD">
        <w:t>469</w:t>
      </w:r>
      <w:r w:rsidR="00495585" w:rsidRPr="00DB67FD">
        <w:t xml:space="preserve">, </w:t>
      </w:r>
      <w:r w:rsidR="004531EC" w:rsidRPr="00DB67FD">
        <w:t>raszkova.sona</w:t>
      </w:r>
      <w:r w:rsidR="00561D32" w:rsidRPr="00DB67FD">
        <w:t>@brno.cz</w:t>
      </w:r>
    </w:p>
    <w:p w14:paraId="21356064" w14:textId="77777777" w:rsidR="00FB1DB1" w:rsidRDefault="00FB1DB1" w:rsidP="00FB1DB1">
      <w:pPr>
        <w:pStyle w:val="NoSpacing"/>
      </w:pPr>
      <w:r>
        <w:t>bankovní spojení:</w:t>
      </w:r>
      <w:r>
        <w:tab/>
        <w:t>Česká spořitelna, a.s.</w:t>
      </w:r>
    </w:p>
    <w:p w14:paraId="17BF9DAB" w14:textId="413CBA1B" w:rsidR="00FB1DB1" w:rsidRDefault="00FB1DB1" w:rsidP="00FB1DB1">
      <w:pPr>
        <w:pStyle w:val="NoSpacing"/>
      </w:pPr>
      <w:r>
        <w:t>č. účtu:</w:t>
      </w:r>
      <w:r>
        <w:tab/>
      </w:r>
      <w:r>
        <w:tab/>
        <w:t>111211222/0800</w:t>
      </w:r>
    </w:p>
    <w:p w14:paraId="319E054D" w14:textId="55FF705E" w:rsidR="5B8EEECD" w:rsidRDefault="5B8EEECD" w:rsidP="5B8EEECD">
      <w:pPr>
        <w:pStyle w:val="NoSpacing"/>
      </w:pPr>
    </w:p>
    <w:p w14:paraId="2D106B95" w14:textId="77777777" w:rsidR="00FB1DB1" w:rsidRDefault="00FB1DB1" w:rsidP="00FB1DB1">
      <w:pPr>
        <w:pStyle w:val="NoSpacing"/>
      </w:pPr>
      <w:r>
        <w:t>(dále jen „</w:t>
      </w:r>
      <w:r>
        <w:rPr>
          <w:b/>
        </w:rPr>
        <w:t>objednate</w:t>
      </w:r>
      <w:r w:rsidRPr="00DB3C27">
        <w:rPr>
          <w:b/>
        </w:rPr>
        <w:t>l</w:t>
      </w:r>
      <w:r>
        <w:t>“)</w:t>
      </w:r>
    </w:p>
    <w:p w14:paraId="7DE1C6DD" w14:textId="0C2F214A" w:rsidR="00FB1DB1" w:rsidRDefault="00FB1DB1" w:rsidP="00FB1DB1">
      <w:pPr>
        <w:pStyle w:val="NoSpacing"/>
      </w:pPr>
    </w:p>
    <w:p w14:paraId="0633F024" w14:textId="77777777" w:rsidR="00FB1DB1" w:rsidRDefault="00FB1DB1" w:rsidP="00FB1DB1">
      <w:pPr>
        <w:pStyle w:val="NoSpacing"/>
      </w:pPr>
      <w:r>
        <w:t>a</w:t>
      </w:r>
    </w:p>
    <w:p w14:paraId="65B7D5DD" w14:textId="2E2F1A72" w:rsidR="00FB1DB1" w:rsidRDefault="00FB1DB1" w:rsidP="00FB1DB1">
      <w:pPr>
        <w:pStyle w:val="NoSpacing"/>
        <w:rPr>
          <w:b/>
          <w:bCs/>
        </w:rPr>
      </w:pPr>
    </w:p>
    <w:p w14:paraId="6539B868" w14:textId="77777777" w:rsidR="00FB1DB1" w:rsidRPr="00D522C1" w:rsidRDefault="00FB1DB1" w:rsidP="00FB1DB1">
      <w:pPr>
        <w:pStyle w:val="NoSpacing"/>
        <w:rPr>
          <w:b/>
        </w:rPr>
      </w:pPr>
      <w:r>
        <w:rPr>
          <w:b/>
        </w:rPr>
        <w:t>Obchodní firma/název</w:t>
      </w:r>
    </w:p>
    <w:p w14:paraId="4A572CA6" w14:textId="659E9729" w:rsidR="4C935933" w:rsidRDefault="4C935933" w:rsidP="4C935933">
      <w:pPr>
        <w:pStyle w:val="NoSpacing"/>
        <w:rPr>
          <w:b/>
          <w:bCs/>
        </w:rPr>
      </w:pPr>
    </w:p>
    <w:p w14:paraId="4EB34FBC" w14:textId="7401615F" w:rsidR="47159E91" w:rsidRDefault="47159E91" w:rsidP="47159E91">
      <w:pPr>
        <w:pStyle w:val="NoSpacing"/>
        <w:rPr>
          <w:b/>
          <w:bCs/>
        </w:rPr>
      </w:pPr>
    </w:p>
    <w:p w14:paraId="72644FEF" w14:textId="77777777" w:rsidR="00FB1DB1" w:rsidRDefault="00FB1DB1" w:rsidP="00FB1DB1">
      <w:pPr>
        <w:pStyle w:val="NoSpacing"/>
      </w:pPr>
      <w:r>
        <w:t>zapsaná:</w:t>
      </w:r>
      <w:r>
        <w:tab/>
      </w:r>
      <w:r>
        <w:tab/>
        <w:t>…</w:t>
      </w:r>
    </w:p>
    <w:p w14:paraId="0D5B8215" w14:textId="77777777" w:rsidR="00FB1DB1" w:rsidRDefault="00FB1DB1" w:rsidP="00FB1DB1">
      <w:pPr>
        <w:pStyle w:val="NoSpacing"/>
      </w:pPr>
      <w:r>
        <w:t>se sídlem:</w:t>
      </w:r>
      <w:r>
        <w:tab/>
      </w:r>
      <w:r>
        <w:tab/>
        <w:t>…</w:t>
      </w:r>
    </w:p>
    <w:p w14:paraId="0A9A15A8" w14:textId="77777777" w:rsidR="00FB1DB1" w:rsidRDefault="00FB1DB1" w:rsidP="00FB1DB1">
      <w:pPr>
        <w:pStyle w:val="NoSpacing"/>
      </w:pPr>
      <w:r>
        <w:t>IČO:</w:t>
      </w:r>
      <w:r>
        <w:tab/>
      </w:r>
      <w:r>
        <w:tab/>
      </w:r>
      <w:r>
        <w:tab/>
        <w:t>…</w:t>
      </w:r>
    </w:p>
    <w:p w14:paraId="543D8015" w14:textId="77777777" w:rsidR="00FB1DB1" w:rsidRDefault="00FB1DB1" w:rsidP="00FB1DB1">
      <w:pPr>
        <w:pStyle w:val="NoSpacing"/>
      </w:pPr>
      <w:r>
        <w:t>DIČ:</w:t>
      </w:r>
      <w:r>
        <w:tab/>
      </w:r>
      <w:r>
        <w:tab/>
      </w:r>
      <w:r>
        <w:tab/>
        <w:t>… (plátce DPH)</w:t>
      </w:r>
    </w:p>
    <w:p w14:paraId="56678C5B" w14:textId="77777777" w:rsidR="00FB1DB1" w:rsidRDefault="00FB1DB1" w:rsidP="00FB1DB1">
      <w:pPr>
        <w:pStyle w:val="NoSpacing"/>
      </w:pPr>
      <w:r>
        <w:t>zastoupená:</w:t>
      </w:r>
      <w:r>
        <w:tab/>
      </w:r>
      <w:r>
        <w:tab/>
        <w:t>…</w:t>
      </w:r>
    </w:p>
    <w:p w14:paraId="5D805A05" w14:textId="77777777" w:rsidR="00FB1DB1" w:rsidRDefault="00FB1DB1" w:rsidP="00FB1DB1">
      <w:pPr>
        <w:pStyle w:val="NoSpacing"/>
      </w:pPr>
      <w:r>
        <w:t>kontaktní osoba:</w:t>
      </w:r>
      <w:r>
        <w:tab/>
        <w:t>jméno a příjmení, telefon, email</w:t>
      </w:r>
    </w:p>
    <w:p w14:paraId="200A5F4A" w14:textId="77777777" w:rsidR="00FB1DB1" w:rsidRDefault="00FB1DB1" w:rsidP="00FB1DB1">
      <w:pPr>
        <w:pStyle w:val="NoSpacing"/>
      </w:pPr>
      <w:r>
        <w:t>bankovní spojení:</w:t>
      </w:r>
      <w:r>
        <w:tab/>
        <w:t>…</w:t>
      </w:r>
    </w:p>
    <w:p w14:paraId="48F65BD2" w14:textId="77777777" w:rsidR="00FB1DB1" w:rsidRDefault="00FB1DB1" w:rsidP="00FB1DB1">
      <w:pPr>
        <w:pStyle w:val="NoSpacing"/>
      </w:pPr>
      <w:r>
        <w:t>č. účtu:</w:t>
      </w:r>
      <w:r>
        <w:tab/>
      </w:r>
      <w:r>
        <w:tab/>
      </w:r>
      <w:r>
        <w:tab/>
        <w:t>…</w:t>
      </w:r>
    </w:p>
    <w:p w14:paraId="35856208" w14:textId="757A3163" w:rsidR="5B8EEECD" w:rsidRDefault="5B8EEECD" w:rsidP="5B8EEECD">
      <w:pPr>
        <w:pStyle w:val="NoSpacing"/>
      </w:pPr>
    </w:p>
    <w:p w14:paraId="2E2D5B23" w14:textId="77777777" w:rsidR="00FB1DB1" w:rsidRDefault="6118AA33" w:rsidP="00FB1DB1">
      <w:pPr>
        <w:pStyle w:val="NoSpacing"/>
      </w:pPr>
      <w:r>
        <w:t>(dále jen „</w:t>
      </w:r>
      <w:r w:rsidRPr="40F021BE">
        <w:rPr>
          <w:b/>
          <w:bCs/>
        </w:rPr>
        <w:t>zhotovitel</w:t>
      </w:r>
      <w:r>
        <w:t>“)</w:t>
      </w:r>
    </w:p>
    <w:p w14:paraId="434BD906" w14:textId="022F6C27" w:rsidR="00D517DA" w:rsidRDefault="00D517DA">
      <w:pPr>
        <w:rPr>
          <w:b/>
        </w:rPr>
      </w:pPr>
    </w:p>
    <w:p w14:paraId="40FD0C0F" w14:textId="49921EC9" w:rsidR="4C935933" w:rsidRDefault="4C935933" w:rsidP="4C935933">
      <w:pPr>
        <w:pStyle w:val="NoSpacing"/>
        <w:jc w:val="center"/>
        <w:rPr>
          <w:b/>
          <w:bCs/>
        </w:rPr>
      </w:pPr>
    </w:p>
    <w:p w14:paraId="01630D92" w14:textId="6F52C9FD" w:rsidR="3B4763C8" w:rsidRDefault="3B4763C8" w:rsidP="3B4763C8">
      <w:pPr>
        <w:pStyle w:val="NoSpacing"/>
        <w:jc w:val="center"/>
        <w:rPr>
          <w:b/>
          <w:bCs/>
        </w:rPr>
      </w:pPr>
    </w:p>
    <w:p w14:paraId="33E48FA9" w14:textId="787DF872" w:rsidR="3B4763C8" w:rsidRDefault="3B4763C8" w:rsidP="3B4763C8">
      <w:pPr>
        <w:pStyle w:val="NoSpacing"/>
        <w:jc w:val="center"/>
        <w:rPr>
          <w:b/>
          <w:bCs/>
        </w:rPr>
      </w:pPr>
    </w:p>
    <w:p w14:paraId="6760FFDB" w14:textId="005DCA2B" w:rsidR="3B4763C8" w:rsidRDefault="3B4763C8" w:rsidP="3B4763C8">
      <w:pPr>
        <w:pStyle w:val="NoSpacing"/>
        <w:jc w:val="center"/>
        <w:rPr>
          <w:b/>
          <w:bCs/>
        </w:rPr>
      </w:pPr>
    </w:p>
    <w:p w14:paraId="60A82EF7" w14:textId="307C75C3" w:rsidR="3B4763C8" w:rsidRDefault="3B4763C8" w:rsidP="3B4763C8">
      <w:pPr>
        <w:pStyle w:val="NoSpacing"/>
        <w:jc w:val="center"/>
        <w:rPr>
          <w:b/>
          <w:bCs/>
        </w:rPr>
      </w:pPr>
    </w:p>
    <w:p w14:paraId="0C0F68BC" w14:textId="59A728DC" w:rsidR="3B4763C8" w:rsidRDefault="3B4763C8" w:rsidP="3B4763C8">
      <w:pPr>
        <w:pStyle w:val="NoSpacing"/>
        <w:jc w:val="center"/>
        <w:rPr>
          <w:b/>
          <w:bCs/>
        </w:rPr>
      </w:pPr>
    </w:p>
    <w:p w14:paraId="5EA59BAE" w14:textId="77777777" w:rsidR="00E53DAD" w:rsidRDefault="00E53DAD" w:rsidP="3B4763C8">
      <w:pPr>
        <w:pStyle w:val="NoSpacing"/>
        <w:jc w:val="center"/>
        <w:rPr>
          <w:b/>
          <w:bCs/>
        </w:rPr>
      </w:pPr>
    </w:p>
    <w:p w14:paraId="7874A947" w14:textId="77777777" w:rsidR="00E53DAD" w:rsidRDefault="00E53DAD" w:rsidP="3B4763C8">
      <w:pPr>
        <w:pStyle w:val="NoSpacing"/>
        <w:jc w:val="center"/>
        <w:rPr>
          <w:b/>
          <w:bCs/>
        </w:rPr>
      </w:pPr>
    </w:p>
    <w:p w14:paraId="11DE63FF" w14:textId="056284A3" w:rsidR="319BF329" w:rsidRDefault="319BF329" w:rsidP="319BF329">
      <w:pPr>
        <w:pStyle w:val="NoSpacing"/>
        <w:jc w:val="center"/>
        <w:rPr>
          <w:b/>
          <w:bCs/>
        </w:rPr>
      </w:pPr>
    </w:p>
    <w:p w14:paraId="4ECAB0C5" w14:textId="4E7BD8C3" w:rsidR="319BF329" w:rsidRDefault="319BF329" w:rsidP="319BF329">
      <w:pPr>
        <w:pStyle w:val="NoSpacing"/>
        <w:jc w:val="center"/>
        <w:rPr>
          <w:b/>
          <w:bCs/>
        </w:rPr>
      </w:pPr>
    </w:p>
    <w:p w14:paraId="08BD321F" w14:textId="76A9436E" w:rsidR="319BF329" w:rsidRDefault="319BF329" w:rsidP="319BF329">
      <w:pPr>
        <w:pStyle w:val="NoSpacing"/>
        <w:jc w:val="center"/>
        <w:rPr>
          <w:b/>
          <w:bCs/>
        </w:rPr>
      </w:pPr>
    </w:p>
    <w:p w14:paraId="4FD1941E" w14:textId="77777777" w:rsidR="00FB1DB1" w:rsidRPr="00CB062E" w:rsidRDefault="00FB1DB1" w:rsidP="00FB1DB1">
      <w:pPr>
        <w:pStyle w:val="NoSpacing"/>
        <w:jc w:val="center"/>
        <w:rPr>
          <w:b/>
        </w:rPr>
      </w:pPr>
      <w:r w:rsidRPr="00CB062E">
        <w:rPr>
          <w:b/>
        </w:rPr>
        <w:t>I.</w:t>
      </w:r>
    </w:p>
    <w:p w14:paraId="2461938A" w14:textId="579EB397" w:rsidR="6118AA33" w:rsidRDefault="6118AA33" w:rsidP="40F021BE">
      <w:pPr>
        <w:pStyle w:val="NoSpacing"/>
        <w:jc w:val="center"/>
        <w:rPr>
          <w:b/>
          <w:bCs/>
        </w:rPr>
      </w:pPr>
      <w:r w:rsidRPr="40F021BE">
        <w:rPr>
          <w:b/>
          <w:bCs/>
        </w:rPr>
        <w:t>Předmět smlouv</w:t>
      </w:r>
      <w:r w:rsidR="0C46E05F" w:rsidRPr="40F021BE">
        <w:rPr>
          <w:b/>
          <w:bCs/>
        </w:rPr>
        <w:t>y</w:t>
      </w:r>
    </w:p>
    <w:p w14:paraId="4D4B31E5" w14:textId="0E551702" w:rsidR="40F021BE" w:rsidRDefault="40F021BE" w:rsidP="40F021BE">
      <w:pPr>
        <w:pStyle w:val="NoSpacing"/>
        <w:jc w:val="center"/>
        <w:rPr>
          <w:b/>
          <w:bCs/>
        </w:rPr>
      </w:pPr>
    </w:p>
    <w:p w14:paraId="752B0045" w14:textId="734BF903" w:rsidR="61DD5401" w:rsidRDefault="61DD5401" w:rsidP="434CE138">
      <w:pPr>
        <w:pStyle w:val="ListParagraph"/>
        <w:keepNext/>
        <w:numPr>
          <w:ilvl w:val="0"/>
          <w:numId w:val="6"/>
        </w:numPr>
        <w:jc w:val="both"/>
        <w:rPr>
          <w:color w:val="000000" w:themeColor="text1"/>
        </w:rPr>
      </w:pPr>
      <w:r>
        <w:t xml:space="preserve">Předmětem této smlouvy </w:t>
      </w:r>
      <w:r w:rsidR="63F91EAE">
        <w:t>je</w:t>
      </w:r>
      <w:r w:rsidR="4A3135F9">
        <w:t>:</w:t>
      </w:r>
    </w:p>
    <w:p w14:paraId="273B9FB5" w14:textId="64372348" w:rsidR="61DD5401" w:rsidRDefault="4A3135F9" w:rsidP="00A215FD">
      <w:pPr>
        <w:pStyle w:val="ListParagraph"/>
        <w:keepNext/>
        <w:numPr>
          <w:ilvl w:val="0"/>
          <w:numId w:val="45"/>
        </w:numPr>
        <w:jc w:val="both"/>
        <w:rPr>
          <w:color w:val="000000" w:themeColor="text1"/>
        </w:rPr>
      </w:pPr>
      <w:r w:rsidRPr="434CE138">
        <w:rPr>
          <w:color w:val="000000" w:themeColor="text1"/>
        </w:rPr>
        <w:t>Vytvoření</w:t>
      </w:r>
      <w:r w:rsidRPr="2FF4D2F5">
        <w:rPr>
          <w:color w:val="000000" w:themeColor="text1"/>
        </w:rPr>
        <w:t xml:space="preserve"> loga a jednotné vizuální identity Metropolitních oblastí a aglomerací ČR, využívajících nástroj integrovaných územních investic (ITI). Logo bude sjednocovat veškeré aktivity Metropolitních oblastí a aglomerací ČR v rámci informování o jejich činnosti v České republice;  </w:t>
      </w:r>
    </w:p>
    <w:p w14:paraId="5BCEA1AA" w14:textId="22377B04" w:rsidR="4A3135F9" w:rsidRDefault="4A3135F9" w:rsidP="00A215FD">
      <w:pPr>
        <w:pStyle w:val="ListParagraph"/>
        <w:keepNext/>
        <w:numPr>
          <w:ilvl w:val="0"/>
          <w:numId w:val="45"/>
        </w:numPr>
        <w:jc w:val="both"/>
        <w:rPr>
          <w:color w:val="000000" w:themeColor="text1"/>
        </w:rPr>
      </w:pPr>
      <w:r w:rsidRPr="667B8336">
        <w:rPr>
          <w:color w:val="000000" w:themeColor="text1"/>
        </w:rPr>
        <w:t>Vytvoření</w:t>
      </w:r>
      <w:r w:rsidRPr="2FF4D2F5">
        <w:rPr>
          <w:color w:val="000000" w:themeColor="text1"/>
        </w:rPr>
        <w:t xml:space="preserve"> grafického a design manuálu využívání loga a vizuální identity; Design manuál obsahuje konkrétní pravidla a doporučení pro používání grafických znaků, barevné palety, </w:t>
      </w:r>
    </w:p>
    <w:p w14:paraId="2AD7FBA0" w14:textId="5B7FAD4A" w:rsidR="4A3135F9" w:rsidRDefault="4A3135F9" w:rsidP="00A215FD">
      <w:pPr>
        <w:pStyle w:val="ListParagraph"/>
        <w:keepNext/>
        <w:numPr>
          <w:ilvl w:val="0"/>
          <w:numId w:val="45"/>
        </w:numPr>
        <w:jc w:val="both"/>
        <w:rPr>
          <w:color w:val="000000" w:themeColor="text1"/>
        </w:rPr>
      </w:pPr>
      <w:r w:rsidRPr="2FF4D2F5">
        <w:rPr>
          <w:color w:val="000000" w:themeColor="text1"/>
        </w:rPr>
        <w:t xml:space="preserve">Vytvoření layoutu pro plakáty, </w:t>
      </w:r>
      <w:proofErr w:type="spellStart"/>
      <w:r w:rsidRPr="2FF4D2F5">
        <w:rPr>
          <w:color w:val="000000" w:themeColor="text1"/>
        </w:rPr>
        <w:t>powerpoint</w:t>
      </w:r>
      <w:proofErr w:type="spellEnd"/>
      <w:r w:rsidRPr="2FF4D2F5">
        <w:rPr>
          <w:color w:val="000000" w:themeColor="text1"/>
        </w:rPr>
        <w:t xml:space="preserve"> prezentace, newslettery a digitální obsah na sociální sítě,  </w:t>
      </w:r>
    </w:p>
    <w:p w14:paraId="31BD94D4" w14:textId="178BC5E9" w:rsidR="4A3135F9" w:rsidRDefault="4A3135F9" w:rsidP="00A215FD">
      <w:pPr>
        <w:pStyle w:val="ListParagraph"/>
        <w:keepNext/>
        <w:numPr>
          <w:ilvl w:val="0"/>
          <w:numId w:val="45"/>
        </w:numPr>
        <w:jc w:val="both"/>
        <w:rPr>
          <w:color w:val="000000" w:themeColor="text1"/>
        </w:rPr>
      </w:pPr>
      <w:r w:rsidRPr="2FF4D2F5">
        <w:rPr>
          <w:color w:val="000000" w:themeColor="text1"/>
        </w:rPr>
        <w:t xml:space="preserve">Vytvoření grafického návrhu letáku (2 strany; CZ/AJ verze), brožury (max 20 stran; CZ/AJ verze) a </w:t>
      </w:r>
      <w:proofErr w:type="spellStart"/>
      <w:r w:rsidRPr="2FF4D2F5">
        <w:rPr>
          <w:color w:val="000000" w:themeColor="text1"/>
        </w:rPr>
        <w:t>roll-upu</w:t>
      </w:r>
      <w:proofErr w:type="spellEnd"/>
      <w:r w:rsidRPr="2FF4D2F5">
        <w:rPr>
          <w:color w:val="000000" w:themeColor="text1"/>
        </w:rPr>
        <w:t xml:space="preserve"> k dané problematice.</w:t>
      </w:r>
    </w:p>
    <w:p w14:paraId="0A4C9ADF" w14:textId="12A0C34D" w:rsidR="00113313" w:rsidRPr="00D237C9" w:rsidRDefault="00B52A58" w:rsidP="01981E4D">
      <w:pPr>
        <w:pStyle w:val="ListParagraph"/>
        <w:keepNext/>
        <w:numPr>
          <w:ilvl w:val="0"/>
          <w:numId w:val="6"/>
        </w:numPr>
        <w:jc w:val="both"/>
      </w:pPr>
      <w:r w:rsidRPr="00D237C9">
        <w:t>Zhotovitel se touto smlouvou zavazuje provést pro objednatele dílo</w:t>
      </w:r>
      <w:r w:rsidR="4B429ED1" w:rsidRPr="00D237C9">
        <w:t xml:space="preserve"> uvedené v </w:t>
      </w:r>
      <w:r w:rsidR="3E82E7E3">
        <w:t>předešlém</w:t>
      </w:r>
      <w:r w:rsidR="4B429ED1" w:rsidRPr="00D237C9">
        <w:t xml:space="preserve"> </w:t>
      </w:r>
      <w:r w:rsidR="2C47FB09">
        <w:t>odstavc</w:t>
      </w:r>
      <w:r w:rsidR="3CE3DA80">
        <w:t>i</w:t>
      </w:r>
      <w:r w:rsidR="4B429ED1" w:rsidRPr="00D237C9">
        <w:t xml:space="preserve"> této smlouvy</w:t>
      </w:r>
      <w:r w:rsidRPr="00D237C9">
        <w:t xml:space="preserve">, a to osobně, řádně a včas, na své náklady a nebezpečí s odbornou péčí dílo v rozsahu a kvalitě stanovené touto </w:t>
      </w:r>
      <w:r w:rsidR="048E1EF7">
        <w:t>smlouvou</w:t>
      </w:r>
      <w:r w:rsidR="6B0B0E82">
        <w:t>.</w:t>
      </w:r>
    </w:p>
    <w:p w14:paraId="39E1FE64" w14:textId="78C06364" w:rsidR="00113313" w:rsidRPr="00D237C9" w:rsidRDefault="00113313" w:rsidP="005E32D4">
      <w:pPr>
        <w:pStyle w:val="ListParagraph"/>
        <w:keepNext/>
        <w:numPr>
          <w:ilvl w:val="0"/>
          <w:numId w:val="6"/>
        </w:numPr>
        <w:jc w:val="both"/>
      </w:pPr>
      <w:r w:rsidRPr="00D237C9">
        <w:t>Objednatel se zavazuje řádně provedené dílo včas převzít a zaplatit zhotoviteli za něho cenu ve výši a za podmínek sjednaných v této smlouvě.</w:t>
      </w:r>
    </w:p>
    <w:p w14:paraId="3718D1CB" w14:textId="77777777" w:rsidR="00844F4E" w:rsidRPr="00D237C9" w:rsidRDefault="00844F4E" w:rsidP="007F73CF">
      <w:pPr>
        <w:pStyle w:val="ListParagraph"/>
        <w:keepNext/>
        <w:ind w:left="360"/>
        <w:jc w:val="both"/>
      </w:pPr>
    </w:p>
    <w:p w14:paraId="4E351750" w14:textId="77777777" w:rsidR="00844F4E" w:rsidRPr="00D237C9" w:rsidRDefault="00BB2B3B" w:rsidP="00844F4E">
      <w:pPr>
        <w:keepNext/>
        <w:jc w:val="center"/>
        <w:rPr>
          <w:b/>
        </w:rPr>
      </w:pPr>
      <w:r w:rsidRPr="00D237C9">
        <w:rPr>
          <w:b/>
        </w:rPr>
        <w:t>II</w:t>
      </w:r>
      <w:r w:rsidR="00844F4E" w:rsidRPr="00D237C9">
        <w:rPr>
          <w:b/>
        </w:rPr>
        <w:t>.</w:t>
      </w:r>
    </w:p>
    <w:p w14:paraId="65CC253D" w14:textId="19C1447B" w:rsidR="00844F4E" w:rsidRPr="00D237C9" w:rsidRDefault="00113313" w:rsidP="00844F4E">
      <w:pPr>
        <w:keepNext/>
        <w:jc w:val="center"/>
        <w:rPr>
          <w:b/>
        </w:rPr>
      </w:pPr>
      <w:r w:rsidRPr="00D237C9">
        <w:rPr>
          <w:b/>
        </w:rPr>
        <w:t>Doba a místo plnění</w:t>
      </w:r>
    </w:p>
    <w:p w14:paraId="63BD7272" w14:textId="77777777" w:rsidR="00844F4E" w:rsidRPr="00D237C9" w:rsidRDefault="00844F4E" w:rsidP="28DF25BD">
      <w:pPr>
        <w:keepNext/>
        <w:jc w:val="both"/>
        <w:rPr>
          <w:b/>
          <w:color w:val="FF0000"/>
          <w:u w:val="single"/>
        </w:rPr>
      </w:pPr>
    </w:p>
    <w:p w14:paraId="44A0D2BF" w14:textId="6A487B7E" w:rsidR="00113313" w:rsidRPr="00D237C9" w:rsidRDefault="00113313" w:rsidP="54E26B44">
      <w:pPr>
        <w:keepNext/>
        <w:numPr>
          <w:ilvl w:val="0"/>
          <w:numId w:val="7"/>
        </w:numPr>
        <w:autoSpaceDE w:val="0"/>
        <w:autoSpaceDN w:val="0"/>
        <w:adjustRightInd w:val="0"/>
        <w:jc w:val="both"/>
      </w:pPr>
      <w:r w:rsidRPr="00D237C9">
        <w:t xml:space="preserve">Zhotovitel se zavazuje provést dílo a předat ho objednateli v termínu do </w:t>
      </w:r>
      <w:r w:rsidR="007F69B2" w:rsidRPr="10AB8112">
        <w:rPr>
          <w:b/>
        </w:rPr>
        <w:t>3</w:t>
      </w:r>
      <w:r w:rsidR="685F713B" w:rsidRPr="10AB8112">
        <w:rPr>
          <w:b/>
        </w:rPr>
        <w:t>1</w:t>
      </w:r>
      <w:r w:rsidR="00254EAE" w:rsidRPr="10AB8112">
        <w:rPr>
          <w:b/>
        </w:rPr>
        <w:t xml:space="preserve">. </w:t>
      </w:r>
      <w:r w:rsidR="39E7C312" w:rsidRPr="10AB8112">
        <w:rPr>
          <w:b/>
        </w:rPr>
        <w:t>12</w:t>
      </w:r>
      <w:r w:rsidR="4CBFD8A3" w:rsidRPr="10AB8112">
        <w:rPr>
          <w:b/>
        </w:rPr>
        <w:t xml:space="preserve">. </w:t>
      </w:r>
      <w:r w:rsidR="00254EAE" w:rsidRPr="10AB8112">
        <w:rPr>
          <w:b/>
        </w:rPr>
        <w:t>202</w:t>
      </w:r>
      <w:r w:rsidR="618F7EB9" w:rsidRPr="10AB8112">
        <w:rPr>
          <w:b/>
        </w:rPr>
        <w:t>5</w:t>
      </w:r>
      <w:r w:rsidR="68C1A9DF" w:rsidRPr="10AB8112">
        <w:rPr>
          <w:b/>
        </w:rPr>
        <w:t>.</w:t>
      </w:r>
    </w:p>
    <w:p w14:paraId="75DC5EB8" w14:textId="36F53094" w:rsidR="00844F4E" w:rsidRPr="00D237C9" w:rsidRDefault="00113313" w:rsidP="005E32D4">
      <w:pPr>
        <w:keepNext/>
        <w:numPr>
          <w:ilvl w:val="0"/>
          <w:numId w:val="7"/>
        </w:numPr>
        <w:autoSpaceDE w:val="0"/>
        <w:autoSpaceDN w:val="0"/>
        <w:adjustRightInd w:val="0"/>
        <w:jc w:val="both"/>
      </w:pPr>
      <w:r w:rsidRPr="00D237C9">
        <w:t>Ocitne-li se objednatel v prodlení s plněním svých povinností dle této smlouvy z důvodů nezaviněných zhotovitelem, v důsledku čehož nebude moci zhotovitel provést dílo v termínu sjednaném dle předešlého odstavce, zavazuje se objednatel uzavřít dodatek k této smlouvě, jehož obsahem bude ujednání o prodloužení termínu dokončení díla.</w:t>
      </w:r>
    </w:p>
    <w:p w14:paraId="77556013" w14:textId="0B2A613A" w:rsidR="00113313" w:rsidRPr="00D237C9" w:rsidRDefault="00113313" w:rsidP="005E32D4">
      <w:pPr>
        <w:keepNext/>
        <w:numPr>
          <w:ilvl w:val="0"/>
          <w:numId w:val="7"/>
        </w:numPr>
        <w:autoSpaceDE w:val="0"/>
        <w:autoSpaceDN w:val="0"/>
        <w:adjustRightInd w:val="0"/>
        <w:jc w:val="both"/>
      </w:pPr>
      <w:r w:rsidRPr="00D237C9">
        <w:t>Zhotovitel splní svou povinnost provést dílo jeho řádným ukončením a předáním díla objednateli v souladu s čl. V této smlouvy. Dílo se považuje za řádně ukončené, bude-li provedeno v souladu s touto smlouvou, bude bez vad a budou-li k němu ze strany zhotovitele poskytnuta další plnění dle této smlouvy, zejména bude-li k němu dodána dokumentace vyžadovaná touto smlouvou.</w:t>
      </w:r>
    </w:p>
    <w:p w14:paraId="222ABAD9" w14:textId="60307F39" w:rsidR="00844F4E" w:rsidRPr="00D237C9" w:rsidRDefault="00C47279" w:rsidP="005E32D4">
      <w:pPr>
        <w:keepNext/>
        <w:numPr>
          <w:ilvl w:val="0"/>
          <w:numId w:val="7"/>
        </w:numPr>
        <w:autoSpaceDE w:val="0"/>
        <w:autoSpaceDN w:val="0"/>
        <w:adjustRightInd w:val="0"/>
        <w:jc w:val="both"/>
      </w:pPr>
      <w:r w:rsidRPr="00D237C9">
        <w:t>Smluvní strany se dohodl</w:t>
      </w:r>
      <w:r w:rsidR="0097225B" w:rsidRPr="00D237C9">
        <w:t>y</w:t>
      </w:r>
      <w:r w:rsidRPr="00D237C9">
        <w:t>, že místem plnění je Brno.</w:t>
      </w:r>
    </w:p>
    <w:p w14:paraId="381AD183" w14:textId="51F343D4" w:rsidR="77FD4AC3" w:rsidRDefault="77FD4AC3" w:rsidP="68FA4377">
      <w:pPr>
        <w:keepNext/>
        <w:numPr>
          <w:ilvl w:val="0"/>
          <w:numId w:val="7"/>
        </w:numPr>
        <w:jc w:val="both"/>
        <w:rPr>
          <w:rFonts w:eastAsia="Aptos"/>
          <w:color w:val="000000" w:themeColor="text1"/>
        </w:rPr>
      </w:pPr>
      <w:r w:rsidRPr="68FA4377">
        <w:t>Smluvní strany se dohodly, že p</w:t>
      </w:r>
      <w:r w:rsidR="7520EAD4" w:rsidRPr="68FA4377">
        <w:t xml:space="preserve">rvní verze loga v min. </w:t>
      </w:r>
      <w:r w:rsidR="7520EAD4" w:rsidRPr="68FA4377">
        <w:rPr>
          <w:rFonts w:eastAsia="Aptos"/>
        </w:rPr>
        <w:t>2 alternativách k</w:t>
      </w:r>
      <w:r w:rsidR="7520EAD4" w:rsidRPr="68FA4377">
        <w:rPr>
          <w:rFonts w:eastAsia="Arial"/>
        </w:rPr>
        <w:t> </w:t>
      </w:r>
      <w:r w:rsidR="7520EAD4" w:rsidRPr="68FA4377">
        <w:rPr>
          <w:rFonts w:eastAsia="Aptos"/>
        </w:rPr>
        <w:t>připomínkám objednatele</w:t>
      </w:r>
      <w:r w:rsidR="7025B379" w:rsidRPr="68FA4377">
        <w:t xml:space="preserve"> bude dodána</w:t>
      </w:r>
      <w:r w:rsidR="7025B379" w:rsidRPr="68FA4377">
        <w:rPr>
          <w:rFonts w:eastAsia="Aptos"/>
        </w:rPr>
        <w:t xml:space="preserve"> </w:t>
      </w:r>
      <w:r w:rsidR="7520EAD4" w:rsidRPr="68FA4377">
        <w:rPr>
          <w:rFonts w:eastAsia="Aptos"/>
        </w:rPr>
        <w:t>do XX</w:t>
      </w:r>
      <w:r w:rsidR="01746181" w:rsidRPr="68FA4377">
        <w:t>, u</w:t>
      </w:r>
      <w:r w:rsidR="7520EAD4" w:rsidRPr="68FA4377">
        <w:t>pravené</w:t>
      </w:r>
      <w:r w:rsidR="7520EAD4" w:rsidRPr="68FA4377">
        <w:rPr>
          <w:rFonts w:eastAsia="Aptos"/>
        </w:rPr>
        <w:t xml:space="preserve"> verze loga se zohledněním všech připomínek objednatele do XXX</w:t>
      </w:r>
      <w:r w:rsidR="33E47A43" w:rsidRPr="68FA4377">
        <w:t>, p</w:t>
      </w:r>
      <w:r w:rsidR="7520EAD4" w:rsidRPr="68FA4377">
        <w:t>rvní</w:t>
      </w:r>
      <w:r w:rsidR="7520EAD4" w:rsidRPr="68FA4377">
        <w:rPr>
          <w:rFonts w:eastAsia="Aptos"/>
        </w:rPr>
        <w:t xml:space="preserve"> verze manuálu vizuálního stylu a jednotlivých layoutů k</w:t>
      </w:r>
      <w:r w:rsidR="7520EAD4" w:rsidRPr="68FA4377">
        <w:rPr>
          <w:rFonts w:eastAsia="Arial"/>
        </w:rPr>
        <w:t> </w:t>
      </w:r>
      <w:r w:rsidR="7520EAD4" w:rsidRPr="68FA4377">
        <w:rPr>
          <w:rFonts w:eastAsia="Aptos"/>
        </w:rPr>
        <w:t xml:space="preserve">připomínkám objednatele do XXX </w:t>
      </w:r>
      <w:r w:rsidR="0A549C55" w:rsidRPr="68FA4377">
        <w:t>a f</w:t>
      </w:r>
      <w:r w:rsidR="7520EAD4" w:rsidRPr="68FA4377">
        <w:t>inální</w:t>
      </w:r>
      <w:r w:rsidR="7520EAD4" w:rsidRPr="68FA4377">
        <w:rPr>
          <w:rFonts w:eastAsia="Aptos"/>
        </w:rPr>
        <w:t xml:space="preserve"> verze manuálu vizuálního stylu a jednotlivých layoutů se zohledněním všech připomínek objednatele v</w:t>
      </w:r>
      <w:r w:rsidR="7520EAD4" w:rsidRPr="68FA4377">
        <w:rPr>
          <w:rFonts w:eastAsia="Arial"/>
        </w:rPr>
        <w:t> </w:t>
      </w:r>
      <w:r w:rsidR="7520EAD4" w:rsidRPr="68FA4377">
        <w:rPr>
          <w:rFonts w:eastAsia="Aptos"/>
        </w:rPr>
        <w:t xml:space="preserve">českém jazyce: do XXX </w:t>
      </w:r>
      <w:r w:rsidR="74074BB1" w:rsidRPr="68FA4377">
        <w:t xml:space="preserve">a finální verze </w:t>
      </w:r>
      <w:r w:rsidR="74074BB1" w:rsidRPr="68FA4377">
        <w:rPr>
          <w:color w:val="000000" w:themeColor="text1"/>
        </w:rPr>
        <w:t xml:space="preserve">grafického návrhu letáku (2 strany; CZ/AJ verze), brožury (max 20 stran; CZ/AJ verze) a </w:t>
      </w:r>
      <w:proofErr w:type="spellStart"/>
      <w:r w:rsidR="74074BB1" w:rsidRPr="68FA4377">
        <w:rPr>
          <w:color w:val="000000" w:themeColor="text1"/>
        </w:rPr>
        <w:t>roll-upu</w:t>
      </w:r>
      <w:proofErr w:type="spellEnd"/>
      <w:r w:rsidR="74074BB1" w:rsidRPr="68FA4377">
        <w:rPr>
          <w:color w:val="000000" w:themeColor="text1"/>
        </w:rPr>
        <w:t xml:space="preserve"> do XX.</w:t>
      </w:r>
    </w:p>
    <w:p w14:paraId="2DDDC09C" w14:textId="7C48349E" w:rsidR="7520EAD4" w:rsidRDefault="7520EAD4" w:rsidP="68FA4377">
      <w:pPr>
        <w:pStyle w:val="ListParagraph"/>
        <w:numPr>
          <w:ilvl w:val="0"/>
          <w:numId w:val="7"/>
        </w:numPr>
        <w:jc w:val="both"/>
        <w:rPr>
          <w:rFonts w:eastAsia="Aptos"/>
        </w:rPr>
      </w:pPr>
      <w:r w:rsidRPr="68FA4377">
        <w:rPr>
          <w:rFonts w:eastAsia="Aptos"/>
        </w:rPr>
        <w:t>Výsledné dílo bude objednateli předáno v</w:t>
      </w:r>
      <w:r w:rsidRPr="68FA4377">
        <w:rPr>
          <w:rFonts w:eastAsia="Arial"/>
        </w:rPr>
        <w:t> </w:t>
      </w:r>
      <w:r w:rsidRPr="68FA4377">
        <w:rPr>
          <w:rFonts w:eastAsia="Aptos"/>
        </w:rPr>
        <w:t>digitální podobě na vhodném hmotném nosiči, a</w:t>
      </w:r>
      <w:r w:rsidRPr="68FA4377">
        <w:rPr>
          <w:rFonts w:eastAsia="Arial"/>
        </w:rPr>
        <w:t> </w:t>
      </w:r>
      <w:r w:rsidRPr="68FA4377">
        <w:rPr>
          <w:rFonts w:eastAsia="Aptos"/>
        </w:rPr>
        <w:t>to v</w:t>
      </w:r>
      <w:r w:rsidRPr="68FA4377">
        <w:rPr>
          <w:rFonts w:eastAsia="Arial"/>
        </w:rPr>
        <w:t> </w:t>
      </w:r>
      <w:r w:rsidRPr="68FA4377">
        <w:rPr>
          <w:rFonts w:eastAsia="Aptos"/>
        </w:rPr>
        <w:t xml:space="preserve">následujících formátech:  </w:t>
      </w:r>
    </w:p>
    <w:p w14:paraId="273250C7" w14:textId="793B7D81" w:rsidR="0EEBCA8F" w:rsidRDefault="0EEBCA8F" w:rsidP="5E34DC80">
      <w:pPr>
        <w:pStyle w:val="ListParagraph"/>
        <w:numPr>
          <w:ilvl w:val="0"/>
          <w:numId w:val="46"/>
        </w:numPr>
        <w:jc w:val="both"/>
        <w:rPr>
          <w:rFonts w:eastAsia="Aptos"/>
        </w:rPr>
      </w:pPr>
      <w:r w:rsidRPr="68FA4377">
        <w:t>L</w:t>
      </w:r>
      <w:r w:rsidR="7520EAD4" w:rsidRPr="68FA4377">
        <w:t>ogotyp</w:t>
      </w:r>
      <w:r w:rsidR="7520EAD4">
        <w:rPr>
          <w:rFonts w:eastAsia="Aptos"/>
        </w:rPr>
        <w:t xml:space="preserve"> – minimálně formáty .</w:t>
      </w:r>
      <w:proofErr w:type="spellStart"/>
      <w:r w:rsidR="7520EAD4">
        <w:rPr>
          <w:rFonts w:eastAsia="Aptos"/>
        </w:rPr>
        <w:t>jpg</w:t>
      </w:r>
      <w:proofErr w:type="spellEnd"/>
      <w:r w:rsidR="7520EAD4">
        <w:rPr>
          <w:rFonts w:eastAsia="Aptos"/>
        </w:rPr>
        <w:t>, .</w:t>
      </w:r>
      <w:proofErr w:type="spellStart"/>
      <w:r w:rsidR="7520EAD4">
        <w:rPr>
          <w:rFonts w:eastAsia="Aptos"/>
        </w:rPr>
        <w:t>ai</w:t>
      </w:r>
      <w:proofErr w:type="spellEnd"/>
      <w:r w:rsidR="7520EAD4">
        <w:rPr>
          <w:rFonts w:eastAsia="Aptos"/>
        </w:rPr>
        <w:t>. a .</w:t>
      </w:r>
      <w:proofErr w:type="spellStart"/>
      <w:r w:rsidR="7520EAD4">
        <w:rPr>
          <w:rFonts w:eastAsia="Aptos"/>
        </w:rPr>
        <w:t>eps</w:t>
      </w:r>
      <w:proofErr w:type="spellEnd"/>
      <w:r w:rsidR="7520EAD4">
        <w:rPr>
          <w:rFonts w:eastAsia="Aptos"/>
        </w:rPr>
        <w:t xml:space="preserve">, příp. další vhodné formáty; </w:t>
      </w:r>
    </w:p>
    <w:p w14:paraId="4FF4024F" w14:textId="00B774BB" w:rsidR="2D7000CB" w:rsidRDefault="2D7000CB" w:rsidP="7A1C5BD5">
      <w:pPr>
        <w:pStyle w:val="ListParagraph"/>
        <w:numPr>
          <w:ilvl w:val="0"/>
          <w:numId w:val="46"/>
        </w:numPr>
        <w:jc w:val="both"/>
        <w:rPr>
          <w:rFonts w:eastAsia="Aptos"/>
        </w:rPr>
      </w:pPr>
      <w:r w:rsidRPr="68FA4377">
        <w:t>M</w:t>
      </w:r>
      <w:r w:rsidR="7520EAD4" w:rsidRPr="68FA4377">
        <w:t>anuál</w:t>
      </w:r>
      <w:r w:rsidR="7520EAD4">
        <w:rPr>
          <w:rFonts w:eastAsia="Aptos"/>
        </w:rPr>
        <w:t xml:space="preserve"> pro použití logotypu – minimálně formáty .doc/.</w:t>
      </w:r>
      <w:proofErr w:type="spellStart"/>
      <w:r w:rsidR="7520EAD4">
        <w:rPr>
          <w:rFonts w:eastAsia="Aptos"/>
        </w:rPr>
        <w:t>docx</w:t>
      </w:r>
      <w:proofErr w:type="spellEnd"/>
      <w:r w:rsidR="7520EAD4">
        <w:rPr>
          <w:rFonts w:eastAsia="Aptos"/>
        </w:rPr>
        <w:t xml:space="preserve"> (textová část pro účely překladu) a</w:t>
      </w:r>
      <w:r w:rsidR="7520EAD4">
        <w:rPr>
          <w:rFonts w:eastAsia="Arial"/>
        </w:rPr>
        <w:t> </w:t>
      </w:r>
      <w:r w:rsidR="7520EAD4">
        <w:rPr>
          <w:rFonts w:eastAsia="Aptos"/>
        </w:rPr>
        <w:t>.</w:t>
      </w:r>
      <w:proofErr w:type="spellStart"/>
      <w:r w:rsidR="7520EAD4">
        <w:rPr>
          <w:rFonts w:eastAsia="Aptos"/>
        </w:rPr>
        <w:t>pdf</w:t>
      </w:r>
      <w:proofErr w:type="spellEnd"/>
      <w:r w:rsidR="7520EAD4">
        <w:rPr>
          <w:rFonts w:eastAsia="Aptos"/>
        </w:rPr>
        <w:t>, příp. další vhodné formáty</w:t>
      </w:r>
    </w:p>
    <w:p w14:paraId="793A6280" w14:textId="61D7AFD5" w:rsidR="65A364E0" w:rsidRDefault="65A364E0" w:rsidP="2BFF1597">
      <w:pPr>
        <w:pStyle w:val="ListParagraph"/>
        <w:numPr>
          <w:ilvl w:val="0"/>
          <w:numId w:val="46"/>
        </w:numPr>
        <w:jc w:val="both"/>
      </w:pPr>
      <w:r w:rsidRPr="68FA4377">
        <w:t>Grafické návrhy</w:t>
      </w:r>
      <w:r w:rsidR="77F235F4" w:rsidRPr="68FA4377">
        <w:t xml:space="preserve"> letáku, brožury a </w:t>
      </w:r>
      <w:proofErr w:type="spellStart"/>
      <w:r w:rsidR="77F235F4" w:rsidRPr="68FA4377">
        <w:t>roll-upu</w:t>
      </w:r>
      <w:proofErr w:type="spellEnd"/>
      <w:r w:rsidR="77F235F4" w:rsidRPr="68FA4377">
        <w:t xml:space="preserve"> v </w:t>
      </w:r>
      <w:proofErr w:type="spellStart"/>
      <w:r w:rsidR="77F235F4" w:rsidRPr="68FA4377">
        <w:t>pdf</w:t>
      </w:r>
      <w:proofErr w:type="spellEnd"/>
      <w:r w:rsidR="77F235F4" w:rsidRPr="68FA4377">
        <w:t xml:space="preserve">, </w:t>
      </w:r>
      <w:proofErr w:type="spellStart"/>
      <w:proofErr w:type="gramStart"/>
      <w:r w:rsidR="77F235F4" w:rsidRPr="68FA4377">
        <w:t>příp.další</w:t>
      </w:r>
      <w:proofErr w:type="spellEnd"/>
      <w:proofErr w:type="gramEnd"/>
      <w:r w:rsidR="77F235F4" w:rsidRPr="68FA4377">
        <w:t xml:space="preserve"> vhodné formáty.</w:t>
      </w:r>
    </w:p>
    <w:p w14:paraId="5C4ED000" w14:textId="77777777" w:rsidR="00844F4E" w:rsidRPr="00D237C9" w:rsidRDefault="00844F4E" w:rsidP="00844F4E">
      <w:pPr>
        <w:keepNext/>
        <w:autoSpaceDE w:val="0"/>
        <w:autoSpaceDN w:val="0"/>
        <w:adjustRightInd w:val="0"/>
        <w:ind w:left="360"/>
        <w:jc w:val="both"/>
      </w:pPr>
    </w:p>
    <w:p w14:paraId="568E808B" w14:textId="77777777" w:rsidR="00844F4E" w:rsidRPr="00D237C9" w:rsidRDefault="003E773A" w:rsidP="00844F4E">
      <w:pPr>
        <w:keepNext/>
        <w:jc w:val="center"/>
        <w:rPr>
          <w:b/>
        </w:rPr>
      </w:pPr>
      <w:r w:rsidRPr="00D237C9">
        <w:rPr>
          <w:b/>
        </w:rPr>
        <w:t>II</w:t>
      </w:r>
      <w:r w:rsidR="00844F4E" w:rsidRPr="00D237C9">
        <w:rPr>
          <w:b/>
        </w:rPr>
        <w:t>I.</w:t>
      </w:r>
    </w:p>
    <w:p w14:paraId="33E62798" w14:textId="79989221" w:rsidR="00844F4E" w:rsidRPr="00D237C9" w:rsidRDefault="00C47279" w:rsidP="00844F4E">
      <w:pPr>
        <w:keepNext/>
        <w:jc w:val="center"/>
        <w:rPr>
          <w:b/>
        </w:rPr>
      </w:pPr>
      <w:r w:rsidRPr="00D237C9">
        <w:rPr>
          <w:b/>
        </w:rPr>
        <w:t>Cena díla</w:t>
      </w:r>
    </w:p>
    <w:p w14:paraId="1F89B68E" w14:textId="77777777" w:rsidR="00844F4E" w:rsidRPr="00D237C9" w:rsidRDefault="00844F4E" w:rsidP="00844F4E">
      <w:pPr>
        <w:keepNext/>
        <w:numPr>
          <w:ilvl w:val="12"/>
          <w:numId w:val="0"/>
        </w:numPr>
        <w:jc w:val="both"/>
        <w:rPr>
          <w:b/>
          <w:u w:val="single"/>
        </w:rPr>
      </w:pPr>
    </w:p>
    <w:p w14:paraId="012D323E" w14:textId="4F6E6BCB" w:rsidR="003E773A" w:rsidRPr="00D237C9" w:rsidRDefault="008E3427" w:rsidP="005E32D4">
      <w:pPr>
        <w:keepNext/>
        <w:numPr>
          <w:ilvl w:val="0"/>
          <w:numId w:val="8"/>
        </w:numPr>
        <w:autoSpaceDE w:val="0"/>
        <w:autoSpaceDN w:val="0"/>
        <w:adjustRightInd w:val="0"/>
        <w:jc w:val="both"/>
      </w:pPr>
      <w:r w:rsidRPr="00D237C9">
        <w:t xml:space="preserve">Objednatel se zavazují zaplatit </w:t>
      </w:r>
      <w:r w:rsidR="49DF591B" w:rsidRPr="00D237C9">
        <w:t>z</w:t>
      </w:r>
      <w:r w:rsidRPr="00D237C9">
        <w:t xml:space="preserve">hotoviteli </w:t>
      </w:r>
      <w:r w:rsidR="5045EF7F" w:rsidRPr="00D237C9">
        <w:t xml:space="preserve">cenu </w:t>
      </w:r>
      <w:r w:rsidRPr="00D237C9">
        <w:t xml:space="preserve">za dílo provedené v souladu s touto smlouvou </w:t>
      </w:r>
      <w:r w:rsidR="71FFB38E" w:rsidRPr="00D237C9">
        <w:t xml:space="preserve">a </w:t>
      </w:r>
      <w:r w:rsidR="1CFB9085" w:rsidRPr="00D237C9">
        <w:t xml:space="preserve">paušální cenu za </w:t>
      </w:r>
      <w:r w:rsidR="15BE3C87" w:rsidRPr="00D237C9">
        <w:t xml:space="preserve">měsíc </w:t>
      </w:r>
      <w:r w:rsidR="71FFB38E" w:rsidRPr="00D237C9">
        <w:t>poskytovan</w:t>
      </w:r>
      <w:r w:rsidR="6D81CD8F" w:rsidRPr="00D237C9">
        <w:t>ých</w:t>
      </w:r>
      <w:r w:rsidR="71FFB38E" w:rsidRPr="00D237C9">
        <w:t xml:space="preserve"> servisní</w:t>
      </w:r>
      <w:r w:rsidR="1C4A89FF" w:rsidRPr="00D237C9">
        <w:t>ch</w:t>
      </w:r>
      <w:r w:rsidR="71FFB38E" w:rsidRPr="00D237C9">
        <w:t xml:space="preserve"> služ</w:t>
      </w:r>
      <w:r w:rsidR="16FFDA6B" w:rsidRPr="00D237C9">
        <w:t>e</w:t>
      </w:r>
      <w:r w:rsidR="71FFB38E" w:rsidRPr="00D237C9">
        <w:t xml:space="preserve">b </w:t>
      </w:r>
      <w:r w:rsidRPr="00D237C9">
        <w:t>dle níže uvedené tabulky:</w:t>
      </w:r>
    </w:p>
    <w:tbl>
      <w:tblPr>
        <w:tblStyle w:val="TableGrid"/>
        <w:tblW w:w="8708" w:type="dxa"/>
        <w:tblInd w:w="359" w:type="dxa"/>
        <w:tblLook w:val="04A0" w:firstRow="1" w:lastRow="0" w:firstColumn="1" w:lastColumn="0" w:noHBand="0" w:noVBand="1"/>
      </w:tblPr>
      <w:tblGrid>
        <w:gridCol w:w="3150"/>
        <w:gridCol w:w="1848"/>
        <w:gridCol w:w="1680"/>
        <w:gridCol w:w="2030"/>
      </w:tblGrid>
      <w:tr w:rsidR="008E3427" w:rsidRPr="00D237C9" w14:paraId="602CAA01" w14:textId="77777777" w:rsidTr="2B0B9ABE">
        <w:tc>
          <w:tcPr>
            <w:tcW w:w="3150" w:type="dxa"/>
          </w:tcPr>
          <w:p w14:paraId="7F6ABC78" w14:textId="77777777" w:rsidR="008E3427" w:rsidRPr="00D237C9" w:rsidRDefault="008E3427" w:rsidP="00C76B93">
            <w:pPr>
              <w:pStyle w:val="NoSpacing"/>
              <w:jc w:val="both"/>
            </w:pPr>
          </w:p>
        </w:tc>
        <w:tc>
          <w:tcPr>
            <w:tcW w:w="1848" w:type="dxa"/>
          </w:tcPr>
          <w:p w14:paraId="3CCD367D" w14:textId="77777777" w:rsidR="008E3427" w:rsidRPr="00D237C9" w:rsidRDefault="008E3427" w:rsidP="00C76B93">
            <w:pPr>
              <w:pStyle w:val="NoSpacing"/>
              <w:jc w:val="both"/>
            </w:pPr>
            <w:r w:rsidRPr="00D237C9">
              <w:t xml:space="preserve">bez DPH </w:t>
            </w:r>
          </w:p>
        </w:tc>
        <w:tc>
          <w:tcPr>
            <w:tcW w:w="1680" w:type="dxa"/>
          </w:tcPr>
          <w:p w14:paraId="2CADFB4E" w14:textId="77777777" w:rsidR="008E3427" w:rsidRPr="00D237C9" w:rsidRDefault="008E3427" w:rsidP="00C76B93">
            <w:pPr>
              <w:pStyle w:val="NoSpacing"/>
              <w:jc w:val="both"/>
            </w:pPr>
            <w:r w:rsidRPr="00D237C9">
              <w:t xml:space="preserve">DPH </w:t>
            </w:r>
          </w:p>
        </w:tc>
        <w:tc>
          <w:tcPr>
            <w:tcW w:w="2030" w:type="dxa"/>
          </w:tcPr>
          <w:p w14:paraId="298EA3BF" w14:textId="77777777" w:rsidR="008E3427" w:rsidRPr="00D237C9" w:rsidRDefault="008E3427" w:rsidP="00C76B93">
            <w:pPr>
              <w:pStyle w:val="NoSpacing"/>
              <w:jc w:val="both"/>
            </w:pPr>
            <w:r w:rsidRPr="00D237C9">
              <w:t>včetně DPH</w:t>
            </w:r>
          </w:p>
        </w:tc>
      </w:tr>
      <w:tr w:rsidR="008E3427" w:rsidRPr="00D237C9" w14:paraId="3DC71117" w14:textId="77777777" w:rsidTr="331ED172">
        <w:trPr>
          <w:trHeight w:val="300"/>
        </w:trPr>
        <w:tc>
          <w:tcPr>
            <w:tcW w:w="3150" w:type="dxa"/>
          </w:tcPr>
          <w:p w14:paraId="2C82DD7A" w14:textId="78548BEB" w:rsidR="008E3427" w:rsidRPr="00D237C9" w:rsidRDefault="008E3427" w:rsidP="00E86055">
            <w:pPr>
              <w:pStyle w:val="paragraph"/>
              <w:spacing w:before="0" w:beforeAutospacing="0" w:after="0" w:afterAutospacing="0"/>
              <w:textAlignment w:val="baseline"/>
            </w:pPr>
            <w:r w:rsidRPr="00D237C9">
              <w:t xml:space="preserve">Cena za </w:t>
            </w:r>
            <w:r w:rsidR="009B5CBF" w:rsidRPr="00D237C9">
              <w:t>dílo</w:t>
            </w:r>
          </w:p>
        </w:tc>
        <w:tc>
          <w:tcPr>
            <w:tcW w:w="1848" w:type="dxa"/>
          </w:tcPr>
          <w:p w14:paraId="3377677D" w14:textId="198E3764" w:rsidR="008E3427" w:rsidRPr="00D237C9" w:rsidRDefault="008E3427" w:rsidP="00C76B93">
            <w:pPr>
              <w:pStyle w:val="NoSpacing"/>
              <w:jc w:val="both"/>
            </w:pPr>
            <w:r w:rsidRPr="00D237C9">
              <w:rPr>
                <w:b/>
                <w:bCs/>
              </w:rPr>
              <w:t>…</w:t>
            </w:r>
            <w:r w:rsidRPr="00D237C9">
              <w:rPr>
                <w:b/>
              </w:rPr>
              <w:t xml:space="preserve"> Kč</w:t>
            </w:r>
          </w:p>
        </w:tc>
        <w:tc>
          <w:tcPr>
            <w:tcW w:w="1680" w:type="dxa"/>
          </w:tcPr>
          <w:p w14:paraId="0DD1B06D" w14:textId="29C0075B" w:rsidR="008E3427" w:rsidRPr="00D237C9" w:rsidRDefault="008E3427" w:rsidP="00C76B93">
            <w:pPr>
              <w:pStyle w:val="NoSpacing"/>
              <w:jc w:val="both"/>
            </w:pPr>
            <w:r w:rsidRPr="00D237C9">
              <w:t>…</w:t>
            </w:r>
            <w:r w:rsidRPr="00D237C9">
              <w:rPr>
                <w:bCs/>
              </w:rPr>
              <w:t xml:space="preserve"> Kč</w:t>
            </w:r>
          </w:p>
        </w:tc>
        <w:tc>
          <w:tcPr>
            <w:tcW w:w="2030" w:type="dxa"/>
          </w:tcPr>
          <w:p w14:paraId="406A0177" w14:textId="7FCAC0B2" w:rsidR="008E3427" w:rsidRPr="00D237C9" w:rsidRDefault="008E3427" w:rsidP="00C76B93">
            <w:pPr>
              <w:pStyle w:val="NoSpacing"/>
              <w:jc w:val="both"/>
            </w:pPr>
            <w:r w:rsidRPr="00D237C9">
              <w:rPr>
                <w:b/>
                <w:bCs/>
              </w:rPr>
              <w:t>…</w:t>
            </w:r>
            <w:r w:rsidRPr="00D237C9">
              <w:rPr>
                <w:b/>
              </w:rPr>
              <w:t xml:space="preserve"> Kč</w:t>
            </w:r>
          </w:p>
        </w:tc>
      </w:tr>
    </w:tbl>
    <w:p w14:paraId="04FBFC8F" w14:textId="77777777" w:rsidR="008E3427" w:rsidRPr="00D237C9" w:rsidRDefault="008E3427" w:rsidP="008E3427">
      <w:pPr>
        <w:keepNext/>
        <w:autoSpaceDE w:val="0"/>
        <w:autoSpaceDN w:val="0"/>
        <w:adjustRightInd w:val="0"/>
        <w:ind w:left="360"/>
        <w:jc w:val="both"/>
        <w:rPr>
          <w:sz w:val="12"/>
          <w:szCs w:val="12"/>
        </w:rPr>
      </w:pPr>
    </w:p>
    <w:p w14:paraId="3DED2108" w14:textId="06121E0C" w:rsidR="00844F4E" w:rsidRPr="00D237C9" w:rsidRDefault="008E3427" w:rsidP="005E32D4">
      <w:pPr>
        <w:keepNext/>
        <w:numPr>
          <w:ilvl w:val="0"/>
          <w:numId w:val="8"/>
        </w:numPr>
        <w:autoSpaceDE w:val="0"/>
        <w:autoSpaceDN w:val="0"/>
        <w:adjustRightInd w:val="0"/>
        <w:jc w:val="both"/>
      </w:pPr>
      <w:r w:rsidRPr="00D237C9">
        <w:t>Cena za dílo uvedená výše, je pevnou cenou a reflektuje očekávaný vývoj cen k datu předání díla.</w:t>
      </w:r>
    </w:p>
    <w:p w14:paraId="4D1905B3" w14:textId="16A79571" w:rsidR="00844F4E" w:rsidRPr="00D237C9" w:rsidRDefault="008E3427" w:rsidP="005E32D4">
      <w:pPr>
        <w:keepNext/>
        <w:numPr>
          <w:ilvl w:val="0"/>
          <w:numId w:val="8"/>
        </w:numPr>
        <w:autoSpaceDE w:val="0"/>
        <w:autoSpaceDN w:val="0"/>
        <w:adjustRightInd w:val="0"/>
        <w:jc w:val="both"/>
      </w:pPr>
      <w:r w:rsidRPr="00D237C9">
        <w:t xml:space="preserve">Smluvní strany si ujednávají, že kupní cena za věci obstarané </w:t>
      </w:r>
      <w:r w:rsidR="70E543CC" w:rsidRPr="00D237C9">
        <w:t>z</w:t>
      </w:r>
      <w:r w:rsidRPr="00D237C9">
        <w:t>hotovitelem pro účely provedení díla je zahrnuta v ceně a cena nebude po dobu trvání této smlouvy žádným způsobem upravována. Na výši ceny nemá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14:paraId="53FC8881" w14:textId="79A15AF4" w:rsidR="00844F4E" w:rsidRPr="00D237C9" w:rsidRDefault="008E3427" w:rsidP="005E32D4">
      <w:pPr>
        <w:keepNext/>
        <w:numPr>
          <w:ilvl w:val="0"/>
          <w:numId w:val="8"/>
        </w:numPr>
        <w:autoSpaceDE w:val="0"/>
        <w:autoSpaceDN w:val="0"/>
        <w:adjustRightInd w:val="0"/>
        <w:jc w:val="both"/>
      </w:pPr>
      <w:r w:rsidRPr="00D237C9">
        <w:t xml:space="preserve">Sjednaná cena </w:t>
      </w:r>
      <w:r w:rsidR="4186E0D6" w:rsidRPr="00D237C9">
        <w:t xml:space="preserve">za dílo </w:t>
      </w:r>
      <w:r w:rsidRPr="00D237C9">
        <w:t>může být změněna pouze, pokud po podpisu smlouvy a před termínem dokončení díla, resp. jedné z jeho etap, dojde ke změnám sazeb DPH, v takovém případě bude cena za dílo upravena podle sazeb DPH platných v době vzniku zdanitelného plnění.</w:t>
      </w:r>
    </w:p>
    <w:p w14:paraId="6727FD00" w14:textId="14481878" w:rsidR="008E3427" w:rsidRPr="00D237C9" w:rsidRDefault="008E3427" w:rsidP="005E32D4">
      <w:pPr>
        <w:keepNext/>
        <w:numPr>
          <w:ilvl w:val="0"/>
          <w:numId w:val="8"/>
        </w:numPr>
        <w:autoSpaceDE w:val="0"/>
        <w:autoSpaceDN w:val="0"/>
        <w:adjustRightInd w:val="0"/>
        <w:jc w:val="both"/>
      </w:pPr>
      <w:r w:rsidRPr="00D237C9">
        <w:t>V případě víceprací lze nárokovat pouze změny, kdy se jedná o objektivně nepředvídatelné náklady, a tyto dodatečné práce jsou nezbytné pro provedení původních prací.</w:t>
      </w:r>
      <w:r w:rsidR="07605CC8" w:rsidRPr="00D237C9">
        <w:t xml:space="preserve"> V takovém případě</w:t>
      </w:r>
      <w:r w:rsidRPr="00D237C9">
        <w:t xml:space="preserve"> je </w:t>
      </w:r>
      <w:r w:rsidR="18C74FC2" w:rsidRPr="00D237C9">
        <w:t>z</w:t>
      </w:r>
      <w:r w:rsidRPr="00D237C9">
        <w:t xml:space="preserve">hotovitel povinen provést výpočet změny ceny díla a předložit jej </w:t>
      </w:r>
      <w:r w:rsidR="0E266DA8" w:rsidRPr="00D237C9">
        <w:t>o</w:t>
      </w:r>
      <w:r w:rsidRPr="00D237C9">
        <w:t xml:space="preserve">bjednateli k posouzení. Zhotoviteli vzniká právo na zvýšení sjednané ceny teprve v případě, že změna bude odsouhlasena </w:t>
      </w:r>
      <w:r w:rsidR="57B8FFAF" w:rsidRPr="00D237C9">
        <w:t>o</w:t>
      </w:r>
      <w:r w:rsidRPr="00D237C9">
        <w:t>bjednatel</w:t>
      </w:r>
      <w:r w:rsidR="00E81FF0" w:rsidRPr="00D237C9">
        <w:t>em</w:t>
      </w:r>
      <w:r w:rsidRPr="00D237C9">
        <w:t>. Objednatel j</w:t>
      </w:r>
      <w:r w:rsidR="00E81FF0" w:rsidRPr="00D237C9">
        <w:t>e</w:t>
      </w:r>
      <w:r w:rsidRPr="00D237C9">
        <w:t xml:space="preserve"> povinn</w:t>
      </w:r>
      <w:r w:rsidR="00E81FF0" w:rsidRPr="00D237C9">
        <w:t>ý</w:t>
      </w:r>
      <w:r w:rsidRPr="00D237C9">
        <w:t xml:space="preserve"> vyjádřit se k návrhu </w:t>
      </w:r>
      <w:r w:rsidR="5C1810FB" w:rsidRPr="00D237C9">
        <w:t>z</w:t>
      </w:r>
      <w:r w:rsidRPr="00D237C9">
        <w:t>hotovitele do 10 dnů ode dne předložení návrhu Zhotovitele. Smluvní strany následně změnu sjednané ceny písemně dohodnou formou dodatku ke smlouvě.</w:t>
      </w:r>
    </w:p>
    <w:p w14:paraId="51941CB8" w14:textId="7A010DE7" w:rsidR="2B0B9ABE" w:rsidRPr="00D237C9" w:rsidRDefault="2B0B9ABE" w:rsidP="2B0B9ABE">
      <w:pPr>
        <w:keepNext/>
        <w:jc w:val="both"/>
      </w:pPr>
    </w:p>
    <w:p w14:paraId="36BF9DBB" w14:textId="77777777" w:rsidR="00844F4E" w:rsidRPr="00D237C9" w:rsidRDefault="003E773A" w:rsidP="00844F4E">
      <w:pPr>
        <w:keepNext/>
        <w:jc w:val="center"/>
        <w:rPr>
          <w:b/>
        </w:rPr>
      </w:pPr>
      <w:r w:rsidRPr="00D237C9">
        <w:rPr>
          <w:b/>
        </w:rPr>
        <w:t>I</w:t>
      </w:r>
      <w:r w:rsidR="00844F4E" w:rsidRPr="00D237C9">
        <w:rPr>
          <w:b/>
        </w:rPr>
        <w:t>V.</w:t>
      </w:r>
    </w:p>
    <w:p w14:paraId="7012D956" w14:textId="2ECD1D7D" w:rsidR="00844F4E" w:rsidRPr="00D237C9" w:rsidRDefault="00E81FF0" w:rsidP="00844F4E">
      <w:pPr>
        <w:keepNext/>
        <w:jc w:val="center"/>
      </w:pPr>
      <w:r w:rsidRPr="00D237C9">
        <w:rPr>
          <w:b/>
        </w:rPr>
        <w:t>Platební a fakturační podmínky</w:t>
      </w:r>
    </w:p>
    <w:p w14:paraId="1E28A03F" w14:textId="77777777" w:rsidR="00844F4E" w:rsidRPr="00D237C9" w:rsidRDefault="00844F4E" w:rsidP="00844F4E">
      <w:pPr>
        <w:keepNext/>
        <w:jc w:val="both"/>
        <w:rPr>
          <w:b/>
          <w:bCs/>
        </w:rPr>
      </w:pPr>
    </w:p>
    <w:p w14:paraId="179848DC" w14:textId="0B2319C6" w:rsidR="00844F4E" w:rsidRPr="00D237C9" w:rsidRDefault="00E81FF0" w:rsidP="005E32D4">
      <w:pPr>
        <w:keepNext/>
        <w:numPr>
          <w:ilvl w:val="0"/>
          <w:numId w:val="9"/>
        </w:numPr>
        <w:jc w:val="both"/>
      </w:pPr>
      <w:r w:rsidRPr="00D237C9">
        <w:t xml:space="preserve">Objednatel se zavazuje uhradit cenu za zhotovení díla </w:t>
      </w:r>
      <w:r>
        <w:t>podle čl.</w:t>
      </w:r>
      <w:r w:rsidRPr="00D237C9">
        <w:t xml:space="preserve"> III. odst. 1 této smlouvy na základě daňového dokladu – faktury (dále jen „faktura“)</w:t>
      </w:r>
      <w:r w:rsidR="48212FCE" w:rsidRPr="00D237C9">
        <w:t>.</w:t>
      </w:r>
      <w:r w:rsidRPr="00D237C9">
        <w:t xml:space="preserve"> Lhůta splatnosti faktury musí být minimálně 14 dnů ode dne doručení objednateli.</w:t>
      </w:r>
    </w:p>
    <w:p w14:paraId="4888A13C" w14:textId="11CA89C0" w:rsidR="00813A0B" w:rsidRPr="00D237C9" w:rsidRDefault="00813A0B" w:rsidP="2B0B9ABE">
      <w:pPr>
        <w:pStyle w:val="ListParagraph"/>
        <w:keepNext/>
        <w:numPr>
          <w:ilvl w:val="0"/>
          <w:numId w:val="9"/>
        </w:numPr>
        <w:jc w:val="both"/>
      </w:pPr>
      <w:r w:rsidRPr="00D237C9">
        <w:t xml:space="preserve">V případě, že ekonomický systém smluvní strany umožňuje vystavit a zaslat fakturu včetně příloh v elektronické podobě, např. ve formátu ISDOC/ISDOCX či ve formátu PDF, je ze strany SMB požadováno doručení faktury včetně příloh primárně do datové schránky (ID: a7kbrrn) či na e-mail: </w:t>
      </w:r>
      <w:r w:rsidR="00172DAC" w:rsidRPr="00D237C9">
        <w:t>raszkova.sona</w:t>
      </w:r>
      <w:r w:rsidR="00907CDA" w:rsidRPr="00D237C9">
        <w:t>@brno.cz</w:t>
      </w:r>
      <w:r w:rsidRPr="00D237C9">
        <w:t>. Pokud nelze takto postupovat, smluvní strana zašle fakturu včetně příloh poštou na níže uvedenou adresu: Statutární město Brno, Dominikánské náměstí 196/1, 602 00 Brno, Odbor strategického rozvoje a spolupráce.</w:t>
      </w:r>
    </w:p>
    <w:p w14:paraId="35964F09" w14:textId="3A91FEE6" w:rsidR="00E81FF0" w:rsidRPr="00D237C9" w:rsidRDefault="00E81FF0" w:rsidP="2B0B9ABE">
      <w:pPr>
        <w:pStyle w:val="ListParagraph"/>
        <w:keepNext/>
        <w:numPr>
          <w:ilvl w:val="0"/>
          <w:numId w:val="9"/>
        </w:numPr>
        <w:jc w:val="both"/>
      </w:pPr>
      <w:r w:rsidRPr="00D237C9">
        <w:t>Faktura musí obsahovat všechny náležitosti účetního a daňového dokladu, především dle §29 zákona č. 235/2004 Sb., o dani z přidané hodnoty, ve znění pozdějších předpisů (dále jen „ZDPH“), a to zejména:</w:t>
      </w:r>
    </w:p>
    <w:p w14:paraId="6262E3A2" w14:textId="6DD8BBD2" w:rsidR="00E81FF0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označení objednatele a zhotovitele, sídlo, IČO, DIČ</w:t>
      </w:r>
      <w:r w:rsidR="53ED28B0" w:rsidRPr="00D237C9">
        <w:t>;</w:t>
      </w:r>
    </w:p>
    <w:p w14:paraId="06C3B61E" w14:textId="09DCAAF8" w:rsidR="00E81FF0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číslo faktury</w:t>
      </w:r>
      <w:r w:rsidR="33D6CD08" w:rsidRPr="00D237C9">
        <w:t>;</w:t>
      </w:r>
    </w:p>
    <w:p w14:paraId="1D2E3E78" w14:textId="2913F3B8" w:rsidR="00E81FF0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den vystavení a den splatnosti faktury</w:t>
      </w:r>
      <w:r w:rsidR="4D320CF7" w:rsidRPr="00D237C9">
        <w:t>;</w:t>
      </w:r>
    </w:p>
    <w:p w14:paraId="121F4375" w14:textId="34E410F9" w:rsidR="00E81FF0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označení banky a čísla účtu, na který se má platit</w:t>
      </w:r>
      <w:r w:rsidR="67EC582F" w:rsidRPr="00D237C9">
        <w:t>;</w:t>
      </w:r>
    </w:p>
    <w:p w14:paraId="546BAC61" w14:textId="140DBEF6" w:rsidR="00E81FF0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označení díla</w:t>
      </w:r>
      <w:r w:rsidR="3B2CD32E" w:rsidRPr="00D237C9">
        <w:t>;</w:t>
      </w:r>
    </w:p>
    <w:p w14:paraId="41C0ED04" w14:textId="0F290E0F" w:rsidR="00E81FF0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číslo smlouvy o dílo objednatele, název zakázky</w:t>
      </w:r>
      <w:r w:rsidR="7E861DF0" w:rsidRPr="00D237C9">
        <w:t>;</w:t>
      </w:r>
    </w:p>
    <w:p w14:paraId="21517BE3" w14:textId="608CB191" w:rsidR="00E81FF0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fakturovanou částku (vč. DPH platné v době fakturace)</w:t>
      </w:r>
      <w:r w:rsidR="629E9D29" w:rsidRPr="00D237C9">
        <w:t>;</w:t>
      </w:r>
    </w:p>
    <w:p w14:paraId="0F5FC747" w14:textId="565B536A" w:rsidR="004F1BE2" w:rsidRPr="00D237C9" w:rsidRDefault="00E81FF0" w:rsidP="00C91601">
      <w:pPr>
        <w:pStyle w:val="ListParagraph"/>
        <w:keepNext/>
        <w:numPr>
          <w:ilvl w:val="0"/>
          <w:numId w:val="19"/>
        </w:numPr>
        <w:jc w:val="both"/>
      </w:pPr>
      <w:r w:rsidRPr="00D237C9">
        <w:t>razítko a podpis zhotovitele nebo jím oprávněné osoby</w:t>
      </w:r>
      <w:r w:rsidR="15CF68CA" w:rsidRPr="00D237C9">
        <w:t>;</w:t>
      </w:r>
    </w:p>
    <w:p w14:paraId="1AB62A82" w14:textId="72DA976F" w:rsidR="4350FF83" w:rsidRPr="00D237C9" w:rsidRDefault="4350FF83" w:rsidP="68FA4377">
      <w:pPr>
        <w:pStyle w:val="ListParagraph"/>
        <w:keepNext/>
        <w:numPr>
          <w:ilvl w:val="0"/>
          <w:numId w:val="19"/>
        </w:numPr>
        <w:spacing w:line="259" w:lineRule="auto"/>
        <w:jc w:val="both"/>
        <w:rPr>
          <w:color w:val="000000" w:themeColor="text1"/>
        </w:rPr>
      </w:pPr>
      <w:r w:rsidRPr="00D237C9">
        <w:rPr>
          <w:color w:val="000000" w:themeColor="text1"/>
        </w:rPr>
        <w:t xml:space="preserve">poznámku „Pro projekt </w:t>
      </w:r>
      <w:r w:rsidR="143030DD" w:rsidRPr="68FA4377">
        <w:rPr>
          <w:color w:val="000000" w:themeColor="text1"/>
        </w:rPr>
        <w:t>Podpora implementace nástroje</w:t>
      </w:r>
      <w:r w:rsidRPr="00D237C9">
        <w:rPr>
          <w:color w:val="000000" w:themeColor="text1"/>
        </w:rPr>
        <w:t xml:space="preserve"> ITI </w:t>
      </w:r>
      <w:r w:rsidR="143030DD" w:rsidRPr="68FA4377">
        <w:rPr>
          <w:color w:val="000000" w:themeColor="text1"/>
        </w:rPr>
        <w:t>a metropolitní spolupráce a facilitace činností nositelů ITI v programovém období 2021-2027</w:t>
      </w:r>
      <w:r w:rsidRPr="00D237C9">
        <w:rPr>
          <w:color w:val="000000" w:themeColor="text1"/>
        </w:rPr>
        <w:t xml:space="preserve"> (</w:t>
      </w:r>
      <w:r>
        <w:t>CZ.</w:t>
      </w:r>
      <w:r w:rsidR="629AF76C">
        <w:t>07.01.01/00/22_005/0000426</w:t>
      </w:r>
      <w:r>
        <w:t>)</w:t>
      </w:r>
      <w:r w:rsidRPr="00D237C9">
        <w:rPr>
          <w:color w:val="000000" w:themeColor="text1"/>
        </w:rPr>
        <w:t xml:space="preserve"> financovaný z OPTP </w:t>
      </w:r>
      <w:r w:rsidR="27722850" w:rsidRPr="68FA4377">
        <w:rPr>
          <w:color w:val="000000" w:themeColor="text1"/>
        </w:rPr>
        <w:t>2021-2027</w:t>
      </w:r>
      <w:r w:rsidRPr="68FA4377">
        <w:rPr>
          <w:color w:val="000000" w:themeColor="text1"/>
        </w:rPr>
        <w:t>“.</w:t>
      </w:r>
      <w:r w:rsidR="1BAED9E3" w:rsidRPr="00D237C9">
        <w:rPr>
          <w:color w:val="000000" w:themeColor="text1"/>
        </w:rPr>
        <w:t xml:space="preserve"> </w:t>
      </w:r>
      <w:r w:rsidR="1AA513D3" w:rsidRPr="00D237C9">
        <w:rPr>
          <w:color w:val="000000" w:themeColor="text1"/>
        </w:rPr>
        <w:t>V případě, že dojde ke změně čísla projektu, je o této skutečnosti objednatel povinen vyrozumět zhotovitele do 5 dnů ode dne, kdy k této skutečnosti dojde, a to formou dopisu.</w:t>
      </w:r>
    </w:p>
    <w:p w14:paraId="5D572CDB" w14:textId="215AE712" w:rsidR="093994E8" w:rsidRPr="00D237C9" w:rsidRDefault="093994E8" w:rsidP="005B1AB1">
      <w:pPr>
        <w:keepNext/>
        <w:numPr>
          <w:ilvl w:val="0"/>
          <w:numId w:val="9"/>
        </w:numPr>
        <w:jc w:val="both"/>
      </w:pPr>
      <w:r w:rsidRPr="00D237C9">
        <w:t xml:space="preserve">Zhotovitel </w:t>
      </w:r>
      <w:r w:rsidR="48A561F0" w:rsidRPr="00D237C9">
        <w:t xml:space="preserve">je </w:t>
      </w:r>
      <w:r w:rsidRPr="00D237C9">
        <w:t xml:space="preserve">oprávněn vystavit </w:t>
      </w:r>
      <w:r w:rsidR="6CDF9ED4" w:rsidRPr="00D237C9">
        <w:t>fakturu na cenu za dílo</w:t>
      </w:r>
      <w:r w:rsidR="005B1AB1" w:rsidRPr="00D237C9">
        <w:t xml:space="preserve"> </w:t>
      </w:r>
      <w:r w:rsidRPr="00D237C9">
        <w:t xml:space="preserve">na základě protokolu o předání a převzetí díla (dále jen „předávací protokol “). </w:t>
      </w:r>
    </w:p>
    <w:p w14:paraId="0CBCCB24" w14:textId="77777777" w:rsidR="00FC14CC" w:rsidRPr="00D237C9" w:rsidRDefault="00FC14CC" w:rsidP="005E32D4">
      <w:pPr>
        <w:keepNext/>
        <w:numPr>
          <w:ilvl w:val="0"/>
          <w:numId w:val="9"/>
        </w:numPr>
        <w:jc w:val="both"/>
      </w:pPr>
      <w:r w:rsidRPr="00D237C9">
        <w:t xml:space="preserve">Objednatel je oprávněn vrátit zhotoviteli fakturu do dne její splatnosti, jestliže bude obsahovat nesprávné nebo neúplné údaje. V takovém případě se zastaví lhůta splatnosti a nová lhůta splatnosti (ve smyslu čl. IV. odst. 1) začne plynout ode dne doručení opravené faktury objednateli. </w:t>
      </w:r>
    </w:p>
    <w:p w14:paraId="4A7DDB7B" w14:textId="0D67188A" w:rsidR="00C85B94" w:rsidRPr="00D237C9" w:rsidRDefault="00FC14CC" w:rsidP="005E32D4">
      <w:pPr>
        <w:keepNext/>
        <w:numPr>
          <w:ilvl w:val="0"/>
          <w:numId w:val="9"/>
        </w:numPr>
        <w:jc w:val="both"/>
      </w:pPr>
      <w:r w:rsidRPr="00D237C9">
        <w:t>Zhotovitel se zavazuje na faktuře pro platbu ceny díla uvádět pouze bankovní účet, který určil správci daně ke zveřejnění v registru plátců a identifikovaných osob. Zhotovitel a objednatel se dohodli, že pokud bude na daňovém dokladu uveden jiný bankovní účet než ten, který je zveřejněn správcem daně v registru plátců a identifikovaných osob, objednatel je oprávněn provést úhradu faktury na tento účet zveřejněný podle ZDPH a nebude tak v prodlení s úhradou ceny díla.</w:t>
      </w:r>
    </w:p>
    <w:p w14:paraId="5959EB14" w14:textId="65895C7D" w:rsidR="00237037" w:rsidRPr="00D237C9" w:rsidRDefault="00FC14CC" w:rsidP="005E32D4">
      <w:pPr>
        <w:pStyle w:val="NoSpacing"/>
        <w:numPr>
          <w:ilvl w:val="0"/>
          <w:numId w:val="9"/>
        </w:numPr>
        <w:jc w:val="both"/>
      </w:pPr>
      <w:r w:rsidRPr="00D237C9">
        <w:t>Zhotovitel je oprávněn fakturovat jen skutečně vykonané a objednatelem převzaté práce.</w:t>
      </w:r>
      <w:r w:rsidR="00237037" w:rsidRPr="00D237C9">
        <w:t>  </w:t>
      </w:r>
    </w:p>
    <w:p w14:paraId="61E909E2" w14:textId="433DEE2D" w:rsidR="000835FD" w:rsidRPr="00D237C9" w:rsidRDefault="000835FD">
      <w:pPr>
        <w:rPr>
          <w:b/>
        </w:rPr>
      </w:pPr>
    </w:p>
    <w:p w14:paraId="3E1FC068" w14:textId="61ADC19A" w:rsidR="000504C6" w:rsidRPr="00D237C9" w:rsidRDefault="003E773A" w:rsidP="000504C6">
      <w:pPr>
        <w:keepNext/>
        <w:jc w:val="center"/>
        <w:rPr>
          <w:b/>
        </w:rPr>
      </w:pPr>
      <w:r w:rsidRPr="00D237C9">
        <w:rPr>
          <w:b/>
        </w:rPr>
        <w:t>V</w:t>
      </w:r>
      <w:r w:rsidR="000504C6" w:rsidRPr="00D237C9">
        <w:rPr>
          <w:b/>
        </w:rPr>
        <w:t>.</w:t>
      </w:r>
    </w:p>
    <w:p w14:paraId="63251AA3" w14:textId="30A1EF41" w:rsidR="000504C6" w:rsidRPr="00D237C9" w:rsidRDefault="00FC14CC" w:rsidP="000504C6">
      <w:pPr>
        <w:keepNext/>
        <w:jc w:val="center"/>
      </w:pPr>
      <w:r w:rsidRPr="00D237C9">
        <w:rPr>
          <w:b/>
        </w:rPr>
        <w:t>Předání a převzetí díla a jeho akceptace</w:t>
      </w:r>
    </w:p>
    <w:p w14:paraId="217BDCA6" w14:textId="77777777" w:rsidR="000504C6" w:rsidRPr="00D237C9" w:rsidRDefault="000504C6" w:rsidP="007F73CF"/>
    <w:p w14:paraId="27CC8254" w14:textId="6493034F" w:rsidR="00237037" w:rsidRPr="00D237C9" w:rsidRDefault="00D059CC" w:rsidP="00C91601">
      <w:pPr>
        <w:keepNext/>
        <w:numPr>
          <w:ilvl w:val="0"/>
          <w:numId w:val="18"/>
        </w:numPr>
        <w:jc w:val="both"/>
      </w:pPr>
      <w:r w:rsidRPr="00D237C9">
        <w:t>Dílo je zhotovitel povinen předat objednateli ve sjednaném termínu na sjednaném místě plnění – Odboru strategického rozvoje a spolupráce Magistrátu města Brna, Husova 12, 602 00 Brno.</w:t>
      </w:r>
    </w:p>
    <w:p w14:paraId="6BB0A8EE" w14:textId="2638F641" w:rsidR="00844F4E" w:rsidRPr="00D237C9" w:rsidRDefault="00D059CC" w:rsidP="00C91601">
      <w:pPr>
        <w:keepNext/>
        <w:numPr>
          <w:ilvl w:val="0"/>
          <w:numId w:val="18"/>
        </w:numPr>
        <w:jc w:val="both"/>
      </w:pPr>
      <w:r w:rsidRPr="00D237C9">
        <w:t>Dílo je ze strany Zhotovitele předáno pouze v případě, kdy je předávací protokol podepsán oprávněnými zástupci všech smluvních stran. Podkladem pro vystavení faktury bude smluvními stranami sepsán protokol předání díla.</w:t>
      </w:r>
    </w:p>
    <w:p w14:paraId="734D992F" w14:textId="752C880D" w:rsidR="00237037" w:rsidRPr="00D237C9" w:rsidRDefault="00D059CC" w:rsidP="00C91601">
      <w:pPr>
        <w:pStyle w:val="NoSpacing"/>
        <w:numPr>
          <w:ilvl w:val="0"/>
          <w:numId w:val="18"/>
        </w:numPr>
        <w:jc w:val="both"/>
      </w:pPr>
      <w:r w:rsidRPr="00D237C9">
        <w:t>Bude-li mít objednatel vůči dílu výhrady, uvede je objednatel do předávacího protokolu, případně je písemně oznámí zhotoviteli do doby splatnosti faktury a zároveň stanoví zhotoviteli přiměřenou lhůtu k jejich odstranění. Předání díla s vadami není splnění zhotovitelova závazku, pokud objednatel v předávacím protokolu neuvede, že dílo i s vyskytnutými vadami přebírá.</w:t>
      </w:r>
    </w:p>
    <w:p w14:paraId="35E5D1E9" w14:textId="77777777" w:rsidR="00D059CC" w:rsidRPr="00D237C9" w:rsidRDefault="00D059CC" w:rsidP="00C91601">
      <w:pPr>
        <w:pStyle w:val="NoSpacing"/>
        <w:numPr>
          <w:ilvl w:val="0"/>
          <w:numId w:val="18"/>
        </w:numPr>
        <w:jc w:val="both"/>
      </w:pPr>
      <w:r w:rsidRPr="00D237C9">
        <w:t xml:space="preserve">V případě zjištění nedostatků díla, bude cena za dílo dle vystavené faktury proplacena až po jejich odstranění. </w:t>
      </w:r>
    </w:p>
    <w:p w14:paraId="0F41D241" w14:textId="67F302DF" w:rsidR="2DD2267C" w:rsidRDefault="2DD2267C" w:rsidP="68FA4377">
      <w:pPr>
        <w:pStyle w:val="NoSpacing"/>
        <w:numPr>
          <w:ilvl w:val="0"/>
          <w:numId w:val="18"/>
        </w:numPr>
        <w:jc w:val="both"/>
      </w:pPr>
      <w:r w:rsidRPr="68FA4377">
        <w:rPr>
          <w:rFonts w:eastAsia="Aptos"/>
        </w:rPr>
        <w:t xml:space="preserve">Objednatel se zavazuje uvést veškeré své výhrady nebo </w:t>
      </w:r>
      <w:proofErr w:type="spellStart"/>
      <w:r w:rsidRPr="68FA4377">
        <w:rPr>
          <w:rFonts w:eastAsia="Aptos"/>
        </w:rPr>
        <w:t>připomínky</w:t>
      </w:r>
      <w:proofErr w:type="spellEnd"/>
      <w:r w:rsidRPr="68FA4377">
        <w:rPr>
          <w:rFonts w:eastAsia="Aptos"/>
        </w:rPr>
        <w:t xml:space="preserve"> k výstupu </w:t>
      </w:r>
      <w:proofErr w:type="spellStart"/>
      <w:r w:rsidRPr="68FA4377">
        <w:rPr>
          <w:rFonts w:eastAsia="Aptos"/>
        </w:rPr>
        <w:t>předloženému</w:t>
      </w:r>
      <w:proofErr w:type="spellEnd"/>
      <w:r w:rsidRPr="68FA4377">
        <w:rPr>
          <w:rFonts w:eastAsia="Aptos"/>
        </w:rPr>
        <w:t xml:space="preserve"> </w:t>
      </w:r>
      <w:r w:rsidR="789911EF" w:rsidRPr="68FA4377">
        <w:rPr>
          <w:rFonts w:eastAsia="Aptos"/>
        </w:rPr>
        <w:t>materiálu</w:t>
      </w:r>
      <w:r w:rsidRPr="68FA4377">
        <w:rPr>
          <w:rFonts w:eastAsia="Aptos"/>
        </w:rPr>
        <w:t xml:space="preserve"> do </w:t>
      </w:r>
      <w:proofErr w:type="spellStart"/>
      <w:r w:rsidRPr="68FA4377">
        <w:rPr>
          <w:rFonts w:eastAsia="Aptos"/>
        </w:rPr>
        <w:t>pěti</w:t>
      </w:r>
      <w:proofErr w:type="spellEnd"/>
      <w:r w:rsidRPr="68FA4377">
        <w:rPr>
          <w:rFonts w:eastAsia="Aptos"/>
        </w:rPr>
        <w:t xml:space="preserve"> (5) pracovních dnů od jeho </w:t>
      </w:r>
      <w:proofErr w:type="spellStart"/>
      <w:r w:rsidRPr="68FA4377">
        <w:rPr>
          <w:rFonts w:eastAsia="Aptos"/>
        </w:rPr>
        <w:t>předání</w:t>
      </w:r>
      <w:proofErr w:type="spellEnd"/>
      <w:r w:rsidRPr="68FA4377">
        <w:rPr>
          <w:rFonts w:eastAsia="Aptos"/>
        </w:rPr>
        <w:t xml:space="preserve">. </w:t>
      </w:r>
      <w:proofErr w:type="spellStart"/>
      <w:r w:rsidRPr="68FA4377">
        <w:rPr>
          <w:rFonts w:eastAsia="Aptos"/>
        </w:rPr>
        <w:t>Sdělí-li</w:t>
      </w:r>
      <w:proofErr w:type="spellEnd"/>
      <w:r w:rsidRPr="68FA4377">
        <w:rPr>
          <w:rFonts w:eastAsia="Aptos"/>
        </w:rPr>
        <w:t xml:space="preserve"> Objednatel Dodavateli, že k výstupu nemá žádné </w:t>
      </w:r>
      <w:proofErr w:type="spellStart"/>
      <w:r w:rsidRPr="68FA4377">
        <w:rPr>
          <w:rFonts w:eastAsia="Aptos"/>
        </w:rPr>
        <w:t>připomínky</w:t>
      </w:r>
      <w:proofErr w:type="spellEnd"/>
      <w:r w:rsidRPr="68FA4377">
        <w:rPr>
          <w:rFonts w:eastAsia="Aptos"/>
        </w:rPr>
        <w:t xml:space="preserve"> považují Smluvní strany výstup za Dodavatelem </w:t>
      </w:r>
      <w:proofErr w:type="spellStart"/>
      <w:r w:rsidRPr="68FA4377">
        <w:rPr>
          <w:rFonts w:eastAsia="Aptos"/>
        </w:rPr>
        <w:t>předaný</w:t>
      </w:r>
      <w:proofErr w:type="spellEnd"/>
      <w:r w:rsidRPr="68FA4377">
        <w:rPr>
          <w:rFonts w:eastAsia="Aptos"/>
        </w:rPr>
        <w:t xml:space="preserve"> a Objednatelem </w:t>
      </w:r>
      <w:proofErr w:type="spellStart"/>
      <w:r w:rsidRPr="68FA4377">
        <w:rPr>
          <w:rFonts w:eastAsia="Aptos"/>
        </w:rPr>
        <w:t>převzatý</w:t>
      </w:r>
      <w:proofErr w:type="spellEnd"/>
      <w:r w:rsidRPr="68FA4377">
        <w:rPr>
          <w:rFonts w:eastAsia="Aptos"/>
        </w:rPr>
        <w:t xml:space="preserve"> a akceptovaný. V </w:t>
      </w:r>
      <w:proofErr w:type="spellStart"/>
      <w:r w:rsidRPr="68FA4377">
        <w:rPr>
          <w:rFonts w:eastAsia="Aptos"/>
        </w:rPr>
        <w:t>opačném</w:t>
      </w:r>
      <w:proofErr w:type="spellEnd"/>
      <w:r w:rsidRPr="68FA4377">
        <w:rPr>
          <w:rFonts w:eastAsia="Aptos"/>
        </w:rPr>
        <w:t xml:space="preserve"> </w:t>
      </w:r>
      <w:proofErr w:type="spellStart"/>
      <w:r w:rsidRPr="68FA4377">
        <w:rPr>
          <w:rFonts w:eastAsia="Aptos"/>
        </w:rPr>
        <w:t>případe</w:t>
      </w:r>
      <w:proofErr w:type="spellEnd"/>
      <w:r w:rsidRPr="68FA4377">
        <w:rPr>
          <w:rFonts w:eastAsia="Aptos"/>
        </w:rPr>
        <w:t xml:space="preserve">̌ se výstup nepovažuje za akceptovaný.  </w:t>
      </w:r>
    </w:p>
    <w:p w14:paraId="5849DE8A" w14:textId="6D695D16" w:rsidR="2DD2267C" w:rsidRDefault="2DD2267C" w:rsidP="68FA4377">
      <w:pPr>
        <w:pStyle w:val="NoSpacing"/>
        <w:numPr>
          <w:ilvl w:val="0"/>
          <w:numId w:val="18"/>
        </w:numPr>
        <w:jc w:val="both"/>
        <w:rPr>
          <w:rFonts w:eastAsia="Aptos"/>
        </w:rPr>
      </w:pPr>
      <w:r w:rsidRPr="68FA4377">
        <w:rPr>
          <w:rFonts w:eastAsia="Aptos"/>
        </w:rPr>
        <w:t xml:space="preserve">Vznese-li Objednatel výhrady nebo </w:t>
      </w:r>
      <w:proofErr w:type="spellStart"/>
      <w:r w:rsidRPr="68FA4377">
        <w:rPr>
          <w:rFonts w:eastAsia="Aptos"/>
        </w:rPr>
        <w:t>připomínky</w:t>
      </w:r>
      <w:proofErr w:type="spellEnd"/>
      <w:r w:rsidRPr="68FA4377">
        <w:rPr>
          <w:rFonts w:eastAsia="Aptos"/>
        </w:rPr>
        <w:t xml:space="preserve"> k výstupu, zavazuje se Dodavatel v </w:t>
      </w:r>
      <w:proofErr w:type="spellStart"/>
      <w:r w:rsidRPr="68FA4377">
        <w:rPr>
          <w:rFonts w:eastAsia="Aptos"/>
        </w:rPr>
        <w:t>přiměřené</w:t>
      </w:r>
      <w:proofErr w:type="spellEnd"/>
      <w:r w:rsidRPr="68FA4377">
        <w:rPr>
          <w:rFonts w:eastAsia="Aptos"/>
        </w:rPr>
        <w:t xml:space="preserve"> </w:t>
      </w:r>
      <w:proofErr w:type="spellStart"/>
      <w:r w:rsidRPr="68FA4377">
        <w:rPr>
          <w:rFonts w:eastAsia="Aptos"/>
        </w:rPr>
        <w:t>lhůte</w:t>
      </w:r>
      <w:proofErr w:type="spellEnd"/>
      <w:r w:rsidRPr="68FA4377">
        <w:rPr>
          <w:rFonts w:eastAsia="Aptos"/>
        </w:rPr>
        <w:t xml:space="preserve">̌ stanovené Objednatelem, </w:t>
      </w:r>
      <w:proofErr w:type="spellStart"/>
      <w:r w:rsidRPr="68FA4377">
        <w:rPr>
          <w:rFonts w:eastAsia="Aptos"/>
        </w:rPr>
        <w:t>nejpozději</w:t>
      </w:r>
      <w:proofErr w:type="spellEnd"/>
      <w:r w:rsidRPr="68FA4377">
        <w:rPr>
          <w:rFonts w:eastAsia="Aptos"/>
        </w:rPr>
        <w:t xml:space="preserve"> však do </w:t>
      </w:r>
      <w:proofErr w:type="spellStart"/>
      <w:r w:rsidRPr="68FA4377">
        <w:rPr>
          <w:rFonts w:eastAsia="Aptos"/>
        </w:rPr>
        <w:t>pěti</w:t>
      </w:r>
      <w:proofErr w:type="spellEnd"/>
      <w:r w:rsidRPr="68FA4377">
        <w:rPr>
          <w:rFonts w:eastAsia="Aptos"/>
        </w:rPr>
        <w:t xml:space="preserve"> (5) dnů od </w:t>
      </w:r>
      <w:proofErr w:type="spellStart"/>
      <w:r w:rsidRPr="68FA4377">
        <w:rPr>
          <w:rFonts w:eastAsia="Aptos"/>
        </w:rPr>
        <w:t>doručení</w:t>
      </w:r>
      <w:proofErr w:type="spellEnd"/>
      <w:r w:rsidRPr="68FA4377">
        <w:rPr>
          <w:rFonts w:eastAsia="Aptos"/>
        </w:rPr>
        <w:t xml:space="preserve"> výhrady, provést veškeré </w:t>
      </w:r>
      <w:proofErr w:type="spellStart"/>
      <w:r w:rsidRPr="68FA4377">
        <w:rPr>
          <w:rFonts w:eastAsia="Aptos"/>
        </w:rPr>
        <w:t>potřebné</w:t>
      </w:r>
      <w:proofErr w:type="spellEnd"/>
      <w:r w:rsidRPr="68FA4377">
        <w:rPr>
          <w:rFonts w:eastAsia="Aptos"/>
        </w:rPr>
        <w:t xml:space="preserve"> úpravy výstupu dle výhrad a </w:t>
      </w:r>
      <w:proofErr w:type="spellStart"/>
      <w:r w:rsidRPr="68FA4377">
        <w:rPr>
          <w:rFonts w:eastAsia="Aptos"/>
        </w:rPr>
        <w:t>připomínek</w:t>
      </w:r>
      <w:proofErr w:type="spellEnd"/>
      <w:r w:rsidRPr="68FA4377">
        <w:rPr>
          <w:rFonts w:eastAsia="Aptos"/>
        </w:rPr>
        <w:t xml:space="preserve"> Objednatele. Opravený výstup </w:t>
      </w:r>
      <w:proofErr w:type="spellStart"/>
      <w:r w:rsidRPr="68FA4377">
        <w:rPr>
          <w:rFonts w:eastAsia="Aptos"/>
        </w:rPr>
        <w:t>předá</w:t>
      </w:r>
      <w:proofErr w:type="spellEnd"/>
      <w:r w:rsidRPr="68FA4377">
        <w:rPr>
          <w:rFonts w:eastAsia="Aptos"/>
        </w:rPr>
        <w:t xml:space="preserve"> Dodavatel Objednateli k </w:t>
      </w:r>
      <w:proofErr w:type="spellStart"/>
      <w:r w:rsidRPr="68FA4377">
        <w:rPr>
          <w:rFonts w:eastAsia="Aptos"/>
        </w:rPr>
        <w:t>opětovné</w:t>
      </w:r>
      <w:proofErr w:type="spellEnd"/>
      <w:r w:rsidRPr="68FA4377">
        <w:rPr>
          <w:rFonts w:eastAsia="Aptos"/>
        </w:rPr>
        <w:t xml:space="preserve"> akceptaci.</w:t>
      </w:r>
    </w:p>
    <w:p w14:paraId="4E56C72C" w14:textId="2003B53A" w:rsidR="68FA4377" w:rsidRDefault="68FA4377" w:rsidP="68FA4377">
      <w:pPr>
        <w:pStyle w:val="NoSpacing"/>
        <w:ind w:left="360"/>
        <w:jc w:val="both"/>
      </w:pPr>
    </w:p>
    <w:p w14:paraId="486C468B" w14:textId="77777777" w:rsidR="00D059CC" w:rsidRPr="00D237C9" w:rsidRDefault="00D059CC" w:rsidP="00D059CC">
      <w:pPr>
        <w:pStyle w:val="NoSpacing"/>
        <w:ind w:left="360"/>
        <w:jc w:val="both"/>
      </w:pPr>
    </w:p>
    <w:p w14:paraId="5D5E3AA3" w14:textId="77777777" w:rsidR="00844F4E" w:rsidRPr="00D237C9" w:rsidRDefault="00844F4E" w:rsidP="00844F4E">
      <w:pPr>
        <w:keepNext/>
        <w:jc w:val="center"/>
        <w:rPr>
          <w:b/>
        </w:rPr>
      </w:pPr>
      <w:r w:rsidRPr="00D237C9">
        <w:rPr>
          <w:b/>
        </w:rPr>
        <w:t>VI.</w:t>
      </w:r>
    </w:p>
    <w:p w14:paraId="02FC79BA" w14:textId="1CCDE001" w:rsidR="00844F4E" w:rsidRPr="00D237C9" w:rsidRDefault="00D059CC" w:rsidP="00844F4E">
      <w:pPr>
        <w:keepNext/>
        <w:jc w:val="center"/>
      </w:pPr>
      <w:r w:rsidRPr="00D237C9">
        <w:rPr>
          <w:b/>
        </w:rPr>
        <w:t>Majetková práva k dílu a práva duševního vlastnictví</w:t>
      </w:r>
    </w:p>
    <w:p w14:paraId="2AD68760" w14:textId="77777777" w:rsidR="00844F4E" w:rsidRPr="00D237C9" w:rsidRDefault="00844F4E" w:rsidP="00844F4E">
      <w:pPr>
        <w:keepNext/>
        <w:jc w:val="both"/>
        <w:rPr>
          <w:b/>
          <w:bCs/>
        </w:rPr>
      </w:pPr>
    </w:p>
    <w:p w14:paraId="02670482" w14:textId="4D603831" w:rsidR="00844F4E" w:rsidRPr="00D237C9" w:rsidRDefault="00D059CC" w:rsidP="005E32D4">
      <w:pPr>
        <w:keepNext/>
        <w:numPr>
          <w:ilvl w:val="0"/>
          <w:numId w:val="10"/>
        </w:numPr>
        <w:jc w:val="both"/>
      </w:pPr>
      <w:r w:rsidRPr="00D237C9">
        <w:t>Objednatel nabývá vlastnické právo k předmětu díla jeho převzetím podle této smlouvy. Stejným okamžikem přechází na Objednatele i nebezpečí škody na věci.</w:t>
      </w:r>
    </w:p>
    <w:p w14:paraId="452492BE" w14:textId="2E6E5937" w:rsidR="00844F4E" w:rsidRPr="00D237C9" w:rsidRDefault="00D059CC" w:rsidP="005E32D4">
      <w:pPr>
        <w:keepNext/>
        <w:numPr>
          <w:ilvl w:val="0"/>
          <w:numId w:val="10"/>
        </w:numPr>
        <w:jc w:val="both"/>
      </w:pPr>
      <w:r w:rsidRPr="00D237C9">
        <w:t>Objednatel k dílu</w:t>
      </w:r>
      <w:r w:rsidR="0A7675C7" w:rsidRPr="00D237C9">
        <w:t>, případně k jeho částem</w:t>
      </w:r>
      <w:r w:rsidRPr="00D237C9">
        <w:t>, jako předmětu požívajícího ochranu autorského díla podle zákona č. 121/2001 Sb., o právu autorském, o právech souvisejících s právem autorským a o změně některých zákonů (autorský zákon), ve znění pozdějších předpisů, nabývá dnem převzetí díla výhradní právo užít takovéto autorské dílo veškerými známými způsoby užití takového díla, zejména, nikoliv však výlučně, k účelu, ke kterému bylo takové dílo zhotovitelem vytvořeno v souladu se smlouvou, a to po celou dobu trvání autorských práv majetkových k takovému dílu, resp. po dobu autorskoprávní ochrany, bez omezení rozsahu množstevního, grafického, technologického a teritoriálního (dále jen „licence“).</w:t>
      </w:r>
    </w:p>
    <w:p w14:paraId="1E50C63A" w14:textId="552705C5" w:rsidR="00C32D3A" w:rsidRPr="00D237C9" w:rsidRDefault="00D059CC" w:rsidP="005E32D4">
      <w:pPr>
        <w:keepNext/>
        <w:numPr>
          <w:ilvl w:val="0"/>
          <w:numId w:val="10"/>
        </w:numPr>
        <w:jc w:val="both"/>
      </w:pPr>
      <w:r w:rsidRPr="00D237C9">
        <w:t>Součástí licence je rovněž neomezené právo objednatele poskytnout třetím osobám podlicenci k užití autorského díla a také souhlas zhotovitele k postoupení licence na třetí osoby a souhlas zhotovitele udělený zadavateli k provedení jakýchkoliv změn nebo modifikací autorského díla dle předešlého odstavce, a to i prostřednictvím třetích osob. Licence se automaticky vztahuje i na všechny nové verze, aktualizované verze, i na úpravy a překlady takového autorského díla. Odměna za poskytnutí licence je zahrnuta v ceně díla dle čl. III odst. 1 této smlouvy.</w:t>
      </w:r>
    </w:p>
    <w:p w14:paraId="1BD15A7E" w14:textId="153A91AD" w:rsidR="00844F4E" w:rsidRPr="00D237C9" w:rsidRDefault="00D059CC" w:rsidP="005E32D4">
      <w:pPr>
        <w:pStyle w:val="ListParagraph"/>
        <w:numPr>
          <w:ilvl w:val="0"/>
          <w:numId w:val="10"/>
        </w:numPr>
        <w:jc w:val="both"/>
      </w:pPr>
      <w:r w:rsidRPr="00D237C9">
        <w:t>Objednatel není povinen licenci využít.</w:t>
      </w:r>
    </w:p>
    <w:p w14:paraId="498948D3" w14:textId="5057CBF2" w:rsidR="00844F4E" w:rsidRPr="00D237C9" w:rsidRDefault="00D059CC" w:rsidP="005E32D4">
      <w:pPr>
        <w:keepNext/>
        <w:numPr>
          <w:ilvl w:val="0"/>
          <w:numId w:val="10"/>
        </w:numPr>
        <w:jc w:val="both"/>
      </w:pPr>
      <w:r w:rsidRPr="00D237C9">
        <w:t>Zhotovitel prohlašuje, že má veškerá oprávnění k autorskému dílu dle odst. 1 tohoto článku, zejména, nikoliv však výlučně, že získal veškerá oprávnění autorů či třetích osob k takovému dílu a je oprávněn poskytnout objednateli, zejména, nikoliv však výlučně, veškerá oprávnění autorů či třetích osob k takovému autorskému dílu, které bude výsledkem plnění nebo jiné činnosti zhotovitele podle této smlouvy.</w:t>
      </w:r>
    </w:p>
    <w:p w14:paraId="7637212F" w14:textId="058F4A6A" w:rsidR="00D059CC" w:rsidRPr="00D237C9" w:rsidRDefault="00D059CC" w:rsidP="005E32D4">
      <w:pPr>
        <w:keepNext/>
        <w:numPr>
          <w:ilvl w:val="0"/>
          <w:numId w:val="10"/>
        </w:numPr>
        <w:jc w:val="both"/>
      </w:pPr>
      <w:r w:rsidRPr="00D237C9">
        <w:t>Zhotovitel prohlašuje, že je objednatel oprávněn autorské dílo dle odst. 2 tohoto článku zveřejnit, upravovat, zpracovávat, překládat či měnit jeho název, a že je též oprávněn takové dílo spojit s dílem jiným a zařadit jej do díla souborného.</w:t>
      </w:r>
    </w:p>
    <w:p w14:paraId="32BB9135" w14:textId="7D96F10A" w:rsidR="00844F4E" w:rsidRPr="00D237C9" w:rsidRDefault="00D059CC" w:rsidP="005E32D4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 w:rsidRPr="00D237C9">
        <w:rPr>
          <w:sz w:val="23"/>
          <w:szCs w:val="23"/>
        </w:rPr>
        <w:t>Zhotovitel od okamžiku poskytnutí licence nesmí poskytnout žádný z těchto výstupů třetí straně bez předchozího písemného souhlasu zadavatele. Zhotovitel se ve smyslu tohoto článku zavazuje zadavateli poskytnout neomezené licence k užití díla vzniklé při plnění každé objednávky.</w:t>
      </w:r>
    </w:p>
    <w:p w14:paraId="3AA196F3" w14:textId="213058FA" w:rsidR="2B0B9ABE" w:rsidRPr="00D237C9" w:rsidRDefault="2B0B9ABE" w:rsidP="2B0B9ABE">
      <w:pPr>
        <w:pStyle w:val="Default"/>
        <w:jc w:val="both"/>
        <w:rPr>
          <w:color w:val="000000" w:themeColor="text1"/>
        </w:rPr>
      </w:pPr>
    </w:p>
    <w:p w14:paraId="60BE6DD3" w14:textId="77777777" w:rsidR="00844F4E" w:rsidRPr="00D237C9" w:rsidRDefault="00430608" w:rsidP="00844F4E">
      <w:pPr>
        <w:keepNext/>
        <w:jc w:val="center"/>
        <w:rPr>
          <w:b/>
        </w:rPr>
      </w:pPr>
      <w:r w:rsidRPr="00D237C9">
        <w:rPr>
          <w:b/>
        </w:rPr>
        <w:t>VI</w:t>
      </w:r>
      <w:r w:rsidR="00844F4E" w:rsidRPr="00D237C9">
        <w:rPr>
          <w:b/>
        </w:rPr>
        <w:t>I.</w:t>
      </w:r>
    </w:p>
    <w:p w14:paraId="0488341D" w14:textId="6D0F809E" w:rsidR="00844F4E" w:rsidRPr="00D237C9" w:rsidRDefault="00D059CC" w:rsidP="00844F4E">
      <w:pPr>
        <w:keepNext/>
        <w:jc w:val="center"/>
      </w:pPr>
      <w:r w:rsidRPr="00D237C9">
        <w:rPr>
          <w:b/>
        </w:rPr>
        <w:t>Další povinnosti smluvních stran a ujednání ve vztahu ke smlouvě</w:t>
      </w:r>
    </w:p>
    <w:p w14:paraId="7843E4B2" w14:textId="77777777" w:rsidR="00844F4E" w:rsidRPr="00D237C9" w:rsidRDefault="00844F4E" w:rsidP="00844F4E">
      <w:pPr>
        <w:tabs>
          <w:tab w:val="num" w:pos="360"/>
        </w:tabs>
        <w:ind w:left="360" w:hanging="360"/>
        <w:jc w:val="both"/>
      </w:pPr>
    </w:p>
    <w:p w14:paraId="5FA9684A" w14:textId="495BF1C7" w:rsidR="00844F4E" w:rsidRPr="00D237C9" w:rsidRDefault="00D059CC" w:rsidP="005E32D4">
      <w:pPr>
        <w:numPr>
          <w:ilvl w:val="0"/>
          <w:numId w:val="11"/>
        </w:numPr>
        <w:jc w:val="both"/>
      </w:pPr>
      <w:r w:rsidRPr="00D237C9">
        <w:rPr>
          <w:snapToGrid w:val="0"/>
        </w:rPr>
        <w:t>Zhotovitel je povinen provést dílo v souladu s touto smlouvou.</w:t>
      </w:r>
    </w:p>
    <w:p w14:paraId="0112C0D1" w14:textId="25EEC973" w:rsidR="00844F4E" w:rsidRPr="00D237C9" w:rsidRDefault="00561C99" w:rsidP="005E32D4">
      <w:pPr>
        <w:numPr>
          <w:ilvl w:val="0"/>
          <w:numId w:val="11"/>
        </w:numPr>
        <w:jc w:val="both"/>
      </w:pPr>
      <w:r w:rsidRPr="00D237C9">
        <w:rPr>
          <w:snapToGrid w:val="0"/>
        </w:rPr>
        <w:t>Zhotovitel se zavazuje opatřit vše, co je zapotřebí k provedení díla podle této smlouvy.</w:t>
      </w:r>
    </w:p>
    <w:p w14:paraId="477BD4E9" w14:textId="0A5BB3B5" w:rsidR="00844F4E" w:rsidRPr="00D237C9" w:rsidRDefault="00561C99" w:rsidP="005E32D4">
      <w:pPr>
        <w:numPr>
          <w:ilvl w:val="0"/>
          <w:numId w:val="11"/>
        </w:numPr>
        <w:jc w:val="both"/>
      </w:pPr>
      <w:r w:rsidRPr="00D237C9">
        <w:rPr>
          <w:snapToGrid w:val="0"/>
        </w:rPr>
        <w:t>Zhotovitel je povinen informovat objednatele o zamýšlené změně sídla Zhotovitele.</w:t>
      </w:r>
    </w:p>
    <w:p w14:paraId="74A3D751" w14:textId="08D96C4B" w:rsidR="00844F4E" w:rsidRPr="00D237C9" w:rsidRDefault="00561C99" w:rsidP="005E32D4">
      <w:pPr>
        <w:numPr>
          <w:ilvl w:val="0"/>
          <w:numId w:val="11"/>
        </w:numPr>
        <w:jc w:val="both"/>
      </w:pPr>
      <w:r w:rsidRPr="00D237C9">
        <w:t>Zhotovitel není oprávněn poskytnout kopie díla jiné osobě než Objednateli</w:t>
      </w:r>
      <w:r w:rsidR="00573E10" w:rsidRPr="00D237C9">
        <w:t>.</w:t>
      </w:r>
      <w:r w:rsidR="00827BF6" w:rsidRPr="00D237C9">
        <w:t xml:space="preserve"> </w:t>
      </w:r>
    </w:p>
    <w:p w14:paraId="4C884093" w14:textId="5C7D135A" w:rsidR="00844F4E" w:rsidRPr="00D237C9" w:rsidRDefault="00561C99" w:rsidP="005E32D4">
      <w:pPr>
        <w:numPr>
          <w:ilvl w:val="0"/>
          <w:numId w:val="11"/>
        </w:numPr>
        <w:jc w:val="both"/>
      </w:pPr>
      <w:r w:rsidRPr="00D237C9">
        <w:t>V případě zpracování osobních údajů Zhotovitelem při plnění závazku dle této smlouvy, je Zhotovitel povinen postupovat dle příslušných předpisů upravujících zpracování osobních údajů.</w:t>
      </w:r>
    </w:p>
    <w:p w14:paraId="222234E0" w14:textId="6CF7B897" w:rsidR="00844F4E" w:rsidRPr="00D237C9" w:rsidRDefault="00561C99" w:rsidP="005E32D4">
      <w:pPr>
        <w:numPr>
          <w:ilvl w:val="0"/>
          <w:numId w:val="11"/>
        </w:numPr>
        <w:jc w:val="both"/>
      </w:pPr>
      <w:r w:rsidRPr="00D237C9">
        <w:t>Objednatel je povinný poskytnout Zhotoviteli součinnost nezbytnou pro provedení díla dle této smlouvy.</w:t>
      </w:r>
    </w:p>
    <w:p w14:paraId="729275B4" w14:textId="069A873F" w:rsidR="68FA4377" w:rsidRDefault="68FA4377" w:rsidP="68FA4377">
      <w:pPr>
        <w:ind w:left="360"/>
        <w:jc w:val="both"/>
      </w:pPr>
    </w:p>
    <w:p w14:paraId="76716101" w14:textId="20FE3005" w:rsidR="00561C99" w:rsidRPr="00D237C9" w:rsidRDefault="00561C99" w:rsidP="005E32D4">
      <w:pPr>
        <w:numPr>
          <w:ilvl w:val="0"/>
          <w:numId w:val="11"/>
        </w:numPr>
        <w:jc w:val="both"/>
      </w:pPr>
      <w:r w:rsidRPr="00D237C9">
        <w:t>V průběhu doby plnění budou na výzvu Objednatele či Zhotovitele uskutečněny mj. konzultace formou elektronické komunikace, popř. telefonické konzultace.</w:t>
      </w:r>
    </w:p>
    <w:p w14:paraId="15533751" w14:textId="77777777" w:rsidR="00844F4E" w:rsidRPr="00D237C9" w:rsidRDefault="00844F4E" w:rsidP="00844F4E">
      <w:pPr>
        <w:tabs>
          <w:tab w:val="num" w:pos="360"/>
        </w:tabs>
        <w:ind w:left="360" w:hanging="360"/>
        <w:jc w:val="both"/>
      </w:pPr>
    </w:p>
    <w:p w14:paraId="347DCBE9" w14:textId="77777777" w:rsidR="00844F4E" w:rsidRPr="00D237C9" w:rsidRDefault="008D5100" w:rsidP="00844F4E">
      <w:pPr>
        <w:keepNext/>
        <w:jc w:val="center"/>
        <w:rPr>
          <w:b/>
        </w:rPr>
      </w:pPr>
      <w:r w:rsidRPr="00D237C9">
        <w:rPr>
          <w:b/>
        </w:rPr>
        <w:t>VIII</w:t>
      </w:r>
      <w:r w:rsidR="00844F4E" w:rsidRPr="00D237C9">
        <w:rPr>
          <w:b/>
        </w:rPr>
        <w:t>.</w:t>
      </w:r>
    </w:p>
    <w:p w14:paraId="590466EF" w14:textId="0CB5B21B" w:rsidR="00844F4E" w:rsidRPr="00D237C9" w:rsidRDefault="00561C99" w:rsidP="00844F4E">
      <w:pPr>
        <w:keepNext/>
        <w:jc w:val="center"/>
        <w:rPr>
          <w:b/>
        </w:rPr>
      </w:pPr>
      <w:r w:rsidRPr="00D237C9">
        <w:rPr>
          <w:b/>
        </w:rPr>
        <w:t>Záruka za jakost díla a odpovědnost za vady</w:t>
      </w:r>
    </w:p>
    <w:p w14:paraId="18EDCEFF" w14:textId="77777777" w:rsidR="00844F4E" w:rsidRPr="00D237C9" w:rsidRDefault="00844F4E" w:rsidP="00844F4E">
      <w:pPr>
        <w:keepNext/>
        <w:jc w:val="both"/>
      </w:pPr>
    </w:p>
    <w:p w14:paraId="762ABCE3" w14:textId="42B79178" w:rsidR="00844F4E" w:rsidRPr="00D237C9" w:rsidRDefault="00561C99" w:rsidP="005E32D4">
      <w:pPr>
        <w:numPr>
          <w:ilvl w:val="0"/>
          <w:numId w:val="12"/>
        </w:numPr>
        <w:jc w:val="both"/>
      </w:pPr>
      <w:r w:rsidRPr="00D237C9">
        <w:t>Zhotovitel poskytuje záruku za dílo v souladu s platnými právními předpisy. Zhotovitel se zavazuje, že předané dílo bude prosté jakýchkoli vad a bude mít vlastnosti dle této smlouvy. Zhotovitel odpovídá za vady, jež má dílo v době jeho předání a dále odpovídá za vady díla zjištěné v záruční době.</w:t>
      </w:r>
    </w:p>
    <w:p w14:paraId="609D4FC4" w14:textId="732E608E" w:rsidR="00844F4E" w:rsidRPr="00D237C9" w:rsidRDefault="00561C99" w:rsidP="005E32D4">
      <w:pPr>
        <w:numPr>
          <w:ilvl w:val="0"/>
          <w:numId w:val="12"/>
        </w:numPr>
        <w:jc w:val="both"/>
      </w:pPr>
      <w:r w:rsidRPr="00D237C9">
        <w:t>Záruční doba se sjednává na 2 roky a začíná běžet dnem převzetí díla objednatelem.</w:t>
      </w:r>
    </w:p>
    <w:p w14:paraId="0E0A036C" w14:textId="09959D98" w:rsidR="00844F4E" w:rsidRPr="00D237C9" w:rsidRDefault="00561C99" w:rsidP="005E32D4">
      <w:pPr>
        <w:numPr>
          <w:ilvl w:val="0"/>
          <w:numId w:val="12"/>
        </w:numPr>
        <w:jc w:val="both"/>
      </w:pPr>
      <w:r w:rsidRPr="00D237C9">
        <w:t>Objednatel je oprávněn reklamovat vady plnění po dobu trvání záruční doby. Reklamace musí být řádně doložena a musí mít písemnou formu.</w:t>
      </w:r>
    </w:p>
    <w:p w14:paraId="31320B52" w14:textId="4719C929" w:rsidR="00844F4E" w:rsidRPr="00D237C9" w:rsidRDefault="00561C99" w:rsidP="005E32D4">
      <w:pPr>
        <w:numPr>
          <w:ilvl w:val="0"/>
          <w:numId w:val="12"/>
        </w:numPr>
        <w:jc w:val="both"/>
      </w:pPr>
      <w:r w:rsidRPr="00D237C9">
        <w:t>Oprávněně reklamované vady budou zhotovitelem odstraněny bez zbytečného odkladu a bezplatně.</w:t>
      </w:r>
    </w:p>
    <w:p w14:paraId="67E90E65" w14:textId="31E3C7EA" w:rsidR="00844F4E" w:rsidRPr="00D237C9" w:rsidRDefault="00561C99" w:rsidP="005E32D4">
      <w:pPr>
        <w:numPr>
          <w:ilvl w:val="0"/>
          <w:numId w:val="12"/>
        </w:numPr>
        <w:jc w:val="both"/>
      </w:pPr>
      <w:r w:rsidRPr="00D237C9">
        <w:t>Vznikne-li objednateli z důvodu vadného plnění či prodlení s předáním díla škoda, je zhotovitel povinen tuto škodu objednateli finančně nahradit.</w:t>
      </w:r>
    </w:p>
    <w:p w14:paraId="3AC8E078" w14:textId="77777777" w:rsidR="00844F4E" w:rsidRPr="00D237C9" w:rsidRDefault="00844F4E" w:rsidP="00844F4E">
      <w:pPr>
        <w:jc w:val="both"/>
      </w:pPr>
    </w:p>
    <w:p w14:paraId="47583535" w14:textId="77777777" w:rsidR="00844F4E" w:rsidRPr="00D237C9" w:rsidRDefault="008D5100" w:rsidP="00844F4E">
      <w:pPr>
        <w:keepNext/>
        <w:jc w:val="center"/>
        <w:rPr>
          <w:b/>
          <w:bCs/>
        </w:rPr>
      </w:pPr>
      <w:r w:rsidRPr="00D237C9">
        <w:rPr>
          <w:b/>
          <w:bCs/>
        </w:rPr>
        <w:t>IX</w:t>
      </w:r>
      <w:r w:rsidR="00844F4E" w:rsidRPr="00D237C9">
        <w:rPr>
          <w:b/>
          <w:bCs/>
        </w:rPr>
        <w:t>.</w:t>
      </w:r>
    </w:p>
    <w:p w14:paraId="1DFE1563" w14:textId="1FA1C4F8" w:rsidR="00844F4E" w:rsidRPr="00D237C9" w:rsidRDefault="00561C99" w:rsidP="00844F4E">
      <w:pPr>
        <w:keepNext/>
        <w:jc w:val="center"/>
        <w:rPr>
          <w:b/>
          <w:bCs/>
        </w:rPr>
      </w:pPr>
      <w:r w:rsidRPr="00D237C9">
        <w:rPr>
          <w:b/>
          <w:bCs/>
        </w:rPr>
        <w:t>Smluvní pokuty a úroky z prodlení</w:t>
      </w:r>
    </w:p>
    <w:p w14:paraId="3787365B" w14:textId="77777777" w:rsidR="00844F4E" w:rsidRPr="00D237C9" w:rsidRDefault="00844F4E" w:rsidP="00844F4E">
      <w:pPr>
        <w:keepNext/>
        <w:jc w:val="center"/>
        <w:rPr>
          <w:b/>
          <w:bCs/>
        </w:rPr>
      </w:pPr>
    </w:p>
    <w:p w14:paraId="593D0E29" w14:textId="706FEF0A" w:rsidR="00844F4E" w:rsidRPr="00D237C9" w:rsidRDefault="00561C99" w:rsidP="005E32D4">
      <w:pPr>
        <w:keepNext/>
        <w:numPr>
          <w:ilvl w:val="0"/>
          <w:numId w:val="13"/>
        </w:numPr>
        <w:jc w:val="both"/>
      </w:pPr>
      <w:r w:rsidRPr="00D237C9">
        <w:t>V případě prodlení s termínem předání díla nebo části díla dle čl. V. odst. 1 této smlouvy je objednatel oprávněn účtovat zhotoviteli smluvní pokutu ve výši 0,1 % ceny díla za každý den prodlení s výjimkou prodlení objednatele s plněním svých povinností dle čl. V. odst. 2. této smlouvy.</w:t>
      </w:r>
    </w:p>
    <w:p w14:paraId="16551137" w14:textId="1691C8FF" w:rsidR="00844F4E" w:rsidRPr="00D237C9" w:rsidRDefault="00561C99" w:rsidP="005E32D4">
      <w:pPr>
        <w:numPr>
          <w:ilvl w:val="0"/>
          <w:numId w:val="13"/>
        </w:numPr>
        <w:jc w:val="both"/>
      </w:pPr>
      <w:r w:rsidRPr="00D237C9">
        <w:t>V případě porušení povinnosti dle čl. VII. odst. 4 této smlouvy je objednatel oprávněn účtovat zhotoviteli smluvní pokutu ve výši 0,1 % ceny díla za každý den porušení této povinnosti, a to maximálně po dobu 30 dní.</w:t>
      </w:r>
    </w:p>
    <w:p w14:paraId="5882280C" w14:textId="113F8CDB" w:rsidR="00844F4E" w:rsidRPr="00D237C9" w:rsidRDefault="00561C99" w:rsidP="005E32D4">
      <w:pPr>
        <w:numPr>
          <w:ilvl w:val="0"/>
          <w:numId w:val="13"/>
        </w:numPr>
        <w:jc w:val="both"/>
      </w:pPr>
      <w:r w:rsidRPr="00D237C9">
        <w:t>V případě prodlení s termínem splatnosti faktury je zhotovitel oprávněn účtovat objednateli úrok z prodlení ve výši 0,1 % z dlužné částky za každý den prodlení.</w:t>
      </w:r>
    </w:p>
    <w:p w14:paraId="0E5BEE74" w14:textId="21D978F3" w:rsidR="00844F4E" w:rsidRPr="00D237C9" w:rsidRDefault="00561C99" w:rsidP="005E32D4">
      <w:pPr>
        <w:widowControl w:val="0"/>
        <w:numPr>
          <w:ilvl w:val="0"/>
          <w:numId w:val="13"/>
        </w:numPr>
        <w:adjustRightInd w:val="0"/>
        <w:jc w:val="both"/>
        <w:textAlignment w:val="baseline"/>
      </w:pPr>
      <w:r w:rsidRPr="00D237C9">
        <w:t xml:space="preserve">Výše uvedené sjednané sankce nemají vliv na případnou povinnost náhrady škody. Sjednané sankce hradí povinná strana nezávisle na tom, zda a v jaké výši vznikne druhé straně v této souvislosti škoda, kterou lze vymáhat samostatně. Smluvní strany vylučují použití </w:t>
      </w:r>
      <w:proofErr w:type="spellStart"/>
      <w:r w:rsidRPr="00D237C9">
        <w:t>ust</w:t>
      </w:r>
      <w:proofErr w:type="spellEnd"/>
      <w:r w:rsidRPr="00D237C9">
        <w:t>. § 2050 občanského zákoníku.</w:t>
      </w:r>
    </w:p>
    <w:p w14:paraId="55049A12" w14:textId="77777777" w:rsidR="00844F4E" w:rsidRPr="00D237C9" w:rsidRDefault="00844F4E" w:rsidP="00844F4E">
      <w:pPr>
        <w:jc w:val="both"/>
        <w:rPr>
          <w:b/>
        </w:rPr>
      </w:pPr>
    </w:p>
    <w:p w14:paraId="2C9793CF" w14:textId="77777777" w:rsidR="00844F4E" w:rsidRPr="00D237C9" w:rsidRDefault="00844F4E" w:rsidP="00844F4E">
      <w:pPr>
        <w:jc w:val="center"/>
        <w:rPr>
          <w:b/>
          <w:bCs/>
        </w:rPr>
      </w:pPr>
      <w:r w:rsidRPr="00D237C9">
        <w:rPr>
          <w:b/>
          <w:bCs/>
        </w:rPr>
        <w:t>X.</w:t>
      </w:r>
    </w:p>
    <w:p w14:paraId="4E0E3BEC" w14:textId="705F038E" w:rsidR="00844F4E" w:rsidRPr="00D237C9" w:rsidRDefault="00561C99" w:rsidP="00844F4E">
      <w:pPr>
        <w:jc w:val="center"/>
        <w:rPr>
          <w:b/>
          <w:bCs/>
        </w:rPr>
      </w:pPr>
      <w:r w:rsidRPr="00D237C9">
        <w:rPr>
          <w:b/>
          <w:bCs/>
        </w:rPr>
        <w:t>Ukončení smlouvy</w:t>
      </w:r>
    </w:p>
    <w:p w14:paraId="131DB0C4" w14:textId="77777777" w:rsidR="00844F4E" w:rsidRPr="00D237C9" w:rsidRDefault="00844F4E" w:rsidP="00844F4E">
      <w:pPr>
        <w:jc w:val="center"/>
        <w:rPr>
          <w:bCs/>
        </w:rPr>
      </w:pPr>
    </w:p>
    <w:p w14:paraId="7513157C" w14:textId="097478DF" w:rsidR="00566D19" w:rsidRPr="00D237C9" w:rsidRDefault="00F77495" w:rsidP="005E32D4">
      <w:pPr>
        <w:pStyle w:val="1slaSEZChar1"/>
        <w:numPr>
          <w:ilvl w:val="0"/>
          <w:numId w:val="14"/>
        </w:numPr>
        <w:spacing w:before="0"/>
        <w:rPr>
          <w:sz w:val="24"/>
          <w:szCs w:val="24"/>
        </w:rPr>
      </w:pPr>
      <w:r w:rsidRPr="00D237C9">
        <w:rPr>
          <w:sz w:val="24"/>
          <w:szCs w:val="24"/>
        </w:rPr>
        <w:t>Závazkový vztah založený touto smlouvou lze ukončit na základě písemné dohody smluvních stran, písemnou výpovědí smlouvy smluvní stranou nebo odstoupením od smlouvy smluvní stranou, a to za podmínek dále stanovených.</w:t>
      </w:r>
      <w:r w:rsidR="00844F4E" w:rsidRPr="00D237C9">
        <w:rPr>
          <w:sz w:val="24"/>
          <w:szCs w:val="24"/>
        </w:rPr>
        <w:t xml:space="preserve"> </w:t>
      </w:r>
    </w:p>
    <w:p w14:paraId="782C1E6B" w14:textId="5EE93351" w:rsidR="00566D19" w:rsidRPr="00D237C9" w:rsidRDefault="00F77495" w:rsidP="005E32D4">
      <w:pPr>
        <w:pStyle w:val="1slaSEZChar1"/>
        <w:numPr>
          <w:ilvl w:val="0"/>
          <w:numId w:val="14"/>
        </w:numPr>
        <w:spacing w:before="0"/>
      </w:pPr>
      <w:r w:rsidRPr="00D237C9">
        <w:rPr>
          <w:sz w:val="24"/>
          <w:szCs w:val="24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</w:t>
      </w:r>
      <w:r w:rsidR="00844F4E" w:rsidRPr="00D237C9">
        <w:rPr>
          <w:sz w:val="24"/>
          <w:szCs w:val="24"/>
        </w:rPr>
        <w:t xml:space="preserve"> </w:t>
      </w:r>
    </w:p>
    <w:p w14:paraId="3A3AB21A" w14:textId="77777777" w:rsidR="00F77495" w:rsidRPr="00D237C9" w:rsidRDefault="00F77495" w:rsidP="005E32D4">
      <w:pPr>
        <w:numPr>
          <w:ilvl w:val="0"/>
          <w:numId w:val="14"/>
        </w:numPr>
        <w:jc w:val="both"/>
      </w:pPr>
      <w:r w:rsidRPr="00D237C9">
        <w:t>Podstatným porušením této smlouvy se rozumí zejména:</w:t>
      </w:r>
    </w:p>
    <w:p w14:paraId="78CF6576" w14:textId="77777777" w:rsidR="00F77495" w:rsidRPr="00D237C9" w:rsidRDefault="00F77495" w:rsidP="00F77495">
      <w:pPr>
        <w:ind w:left="1058"/>
        <w:jc w:val="both"/>
      </w:pPr>
      <w:r w:rsidRPr="00D237C9">
        <w:t>a) prodlení zhotovitele se splněním termínu dokončení díla nebo části díla delším než 7 dnů,</w:t>
      </w:r>
    </w:p>
    <w:p w14:paraId="4F97F01F" w14:textId="47744DC9" w:rsidR="00844F4E" w:rsidRPr="00D237C9" w:rsidRDefault="00F77495" w:rsidP="00F77495">
      <w:pPr>
        <w:ind w:left="709" w:firstLine="349"/>
        <w:jc w:val="both"/>
      </w:pPr>
      <w:r w:rsidRPr="00D237C9">
        <w:t>b) nesplnění obsahu zakázky (dle přílohy č. 1 této smlouvy).</w:t>
      </w:r>
    </w:p>
    <w:p w14:paraId="12E3BBD7" w14:textId="2A267755" w:rsidR="00566D19" w:rsidRPr="00D237C9" w:rsidRDefault="00F77495" w:rsidP="005E32D4">
      <w:pPr>
        <w:numPr>
          <w:ilvl w:val="0"/>
          <w:numId w:val="14"/>
        </w:numPr>
        <w:jc w:val="both"/>
      </w:pPr>
      <w:r w:rsidRPr="00D237C9">
        <w:t>Dojde-li k odstoupení od smlouvy z důvodů na straně objednatele, bude zhotovitel účtovat objednateli rozpracované práce ve výši odpovídající rozsahu vykonaných prací ke dni odstoupení.</w:t>
      </w:r>
    </w:p>
    <w:p w14:paraId="45A9F422" w14:textId="68035A61" w:rsidR="00844F4E" w:rsidRPr="00D237C9" w:rsidRDefault="00F77495" w:rsidP="005E32D4">
      <w:pPr>
        <w:numPr>
          <w:ilvl w:val="0"/>
          <w:numId w:val="14"/>
        </w:numPr>
        <w:jc w:val="both"/>
      </w:pPr>
      <w:r w:rsidRPr="00D237C9">
        <w:t>V případě, že od smlouvy odstoupí zhotovitel, je povinen uhradit objednateli případnou škodu, která mu odstoupením od smlouvy vznikla.</w:t>
      </w:r>
    </w:p>
    <w:p w14:paraId="63AF2A0E" w14:textId="3903FBED" w:rsidR="00F77495" w:rsidRPr="00D237C9" w:rsidRDefault="00F77495" w:rsidP="005E32D4">
      <w:pPr>
        <w:numPr>
          <w:ilvl w:val="0"/>
          <w:numId w:val="14"/>
        </w:numPr>
        <w:jc w:val="both"/>
      </w:pPr>
      <w:r w:rsidRPr="00D237C9">
        <w:t>Smluvní strany mohou smlouvu písemně vypovědět. Výpovědní lhůta činí jeden měsíc a začne běžet od prvního dne měsíce následujícího po měsíci, v němž byla výpověď doručena druhé smluvní straně. Účinky doručení pro účely této smlouvy nastávají i tehdy, pokud smluvní strana svým jednáním nebo opomenutím doručení zmařila, a to 3. dnem po dni odeslání výpovědi.</w:t>
      </w:r>
    </w:p>
    <w:p w14:paraId="24078BB4" w14:textId="77777777" w:rsidR="00844F4E" w:rsidRPr="00D237C9" w:rsidRDefault="00844F4E" w:rsidP="00844F4E">
      <w:pPr>
        <w:jc w:val="center"/>
        <w:rPr>
          <w:b/>
          <w:bCs/>
        </w:rPr>
      </w:pPr>
    </w:p>
    <w:p w14:paraId="50873994" w14:textId="77777777" w:rsidR="00844F4E" w:rsidRPr="00D237C9" w:rsidRDefault="00844F4E" w:rsidP="00844F4E">
      <w:pPr>
        <w:keepNext/>
        <w:jc w:val="center"/>
        <w:rPr>
          <w:b/>
          <w:bCs/>
        </w:rPr>
      </w:pPr>
      <w:r w:rsidRPr="00D237C9">
        <w:rPr>
          <w:b/>
          <w:bCs/>
        </w:rPr>
        <w:t>XI.</w:t>
      </w:r>
    </w:p>
    <w:p w14:paraId="6EB8BDA7" w14:textId="5F72BCE2" w:rsidR="00844F4E" w:rsidRPr="00D237C9" w:rsidRDefault="00F77495" w:rsidP="00844F4E">
      <w:pPr>
        <w:keepNext/>
        <w:jc w:val="center"/>
        <w:rPr>
          <w:b/>
          <w:bCs/>
        </w:rPr>
      </w:pPr>
      <w:r w:rsidRPr="00D237C9">
        <w:rPr>
          <w:b/>
          <w:bCs/>
        </w:rPr>
        <w:t>Závěrečná ustanovení</w:t>
      </w:r>
    </w:p>
    <w:p w14:paraId="4050962C" w14:textId="77777777" w:rsidR="00844F4E" w:rsidRPr="00D237C9" w:rsidRDefault="00844F4E" w:rsidP="00844F4E">
      <w:pPr>
        <w:keepNext/>
        <w:jc w:val="both"/>
      </w:pPr>
    </w:p>
    <w:p w14:paraId="6E9DDC0A" w14:textId="10C422EC" w:rsidR="00E65F8D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t>Není-li v této smlouvě uvedeno jinak, je k jednáním podle této smlouvy jménem poskytovatele oprávněna kontaktní osoba uvedená v záhlaví smlouvy nebo jiný pověřený zaměstnanec Magistrátu města Brna. Toto ustanovení se nevztahuje na podpisy dodatků k této smlouvě.</w:t>
      </w:r>
    </w:p>
    <w:p w14:paraId="390F6578" w14:textId="78DFF404" w:rsidR="00E65F8D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t>Tato smlouva se řídí právem České republiky. Vztahy mezi smluvními stranami výslovně neupravené touto smlouvou se řídí především ustanoveními občanského zákoníku.</w:t>
      </w:r>
    </w:p>
    <w:p w14:paraId="1EB46D8F" w14:textId="4E5C97C3" w:rsidR="00E65F8D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t>Smluvní strany berou na sebe práva a povinnosti z této smlouvy. V případě vzniku sporů budou tyto řešeny přednostně vzájemnou dohodou smluvních stran</w:t>
      </w:r>
      <w:r w:rsidR="00E65F8D" w:rsidRPr="00D237C9">
        <w:t>.</w:t>
      </w:r>
    </w:p>
    <w:p w14:paraId="0ADBCCF0" w14:textId="1D4511FC" w:rsidR="00E65F8D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t>Tato smlouva nabývá platnosti dnem podpisu všemi smluvními stranami a účinnosti dnem uveřejnění v registru smluv v souladu se zákonem č. 340/2015 Sb., o zvláštních podmínkách účinnosti některých smluv, uveřejňování těchto smluv a o registru smluv (zákon o registru smluv), ve znění pozdějších předpisů. Smluvní strany se dohodly, že návrh na uveřejnění smlouvy v registru smluv podá poskytovatel.</w:t>
      </w:r>
    </w:p>
    <w:p w14:paraId="2D51B954" w14:textId="689B7C1C" w:rsidR="00E65F8D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rPr>
          <w:rFonts w:eastAsia="Calibri"/>
          <w:bCs/>
        </w:rPr>
        <w:t>Jakékoli změny této smlouvy včetně její přílohy lze provádět pouze formou písemných postupně číslovaných dodatků na základě dohody všech smluvních stran.</w:t>
      </w:r>
    </w:p>
    <w:p w14:paraId="333F9073" w14:textId="63D8295C" w:rsidR="005C21C1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rPr>
          <w:rFonts w:eastAsia="Calibri"/>
          <w:bCs/>
        </w:rPr>
        <w:t>Pokud oddělitelné ustanovení této smlouvy je nebo se stane neplatným či nevynutitelným, nemá to vliv na platnost zbývajících ustanovení této smlouvy. V takovém případě se strany této smlouvy zavazují uzavřít do 10 pracovních dnů od výzvy jakékoli ze stran této smlouvy dodatek k této smlouvě nahrazující oddělitelné ustanovení této smlouvy, které je neplatné či nevynutitelné, platným a vynutitelným ustanovením odpovídajícím hospodářskému účelu takto nahrazeného ustanovení.</w:t>
      </w:r>
      <w:r w:rsidR="005C21C1" w:rsidRPr="00D237C9">
        <w:t xml:space="preserve"> </w:t>
      </w:r>
    </w:p>
    <w:p w14:paraId="289569D0" w14:textId="0AB139A9" w:rsidR="00844F4E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rPr>
          <w:rFonts w:eastAsia="Calibri"/>
          <w:bCs/>
        </w:rPr>
        <w:t xml:space="preserve">Odpověď s dodatkem nebo odchylkou, která podstatně nemění podmínky nabídky, ve smyslu </w:t>
      </w:r>
      <w:proofErr w:type="spellStart"/>
      <w:r w:rsidRPr="00D237C9">
        <w:rPr>
          <w:rFonts w:eastAsia="Calibri"/>
          <w:bCs/>
        </w:rPr>
        <w:t>ust</w:t>
      </w:r>
      <w:proofErr w:type="spellEnd"/>
      <w:r w:rsidRPr="00D237C9">
        <w:rPr>
          <w:rFonts w:eastAsia="Calibri"/>
          <w:bCs/>
        </w:rPr>
        <w:t>. § 1740 odst. 3 občanského zákoníku není přijetím nabídky na uzavření této smlouvy.</w:t>
      </w:r>
      <w:r w:rsidR="005C21C1" w:rsidRPr="00D237C9">
        <w:t xml:space="preserve"> </w:t>
      </w:r>
    </w:p>
    <w:p w14:paraId="1B0476BA" w14:textId="64E5C8D9" w:rsidR="007A1B3B" w:rsidRPr="00D237C9" w:rsidRDefault="007A1B3B" w:rsidP="005E32D4">
      <w:pPr>
        <w:numPr>
          <w:ilvl w:val="0"/>
          <w:numId w:val="15"/>
        </w:numPr>
        <w:jc w:val="both"/>
      </w:pPr>
      <w:r w:rsidRPr="00D237C9">
        <w:t xml:space="preserve">Tato smlouva je vyhotovena v jednom elektronickém vyhotovení podepsaném elektronickými podpisy oprávněných zástupců obou smluvních stran, případně je vyhotovena v listinné podobě ve třech stejnopisech s platností originálu, přičemž objednatel </w:t>
      </w:r>
      <w:proofErr w:type="gramStart"/>
      <w:r w:rsidRPr="00D237C9">
        <w:t>obdrží</w:t>
      </w:r>
      <w:proofErr w:type="gramEnd"/>
      <w:r w:rsidRPr="00D237C9">
        <w:t xml:space="preserve"> dvě vyhotovení a </w:t>
      </w:r>
      <w:r w:rsidR="00BA035F" w:rsidRPr="00D237C9">
        <w:t>zhotovitel</w:t>
      </w:r>
      <w:r w:rsidRPr="00D237C9">
        <w:t xml:space="preserve"> obdrží jedno </w:t>
      </w:r>
      <w:r w:rsidR="00904890" w:rsidRPr="00D237C9">
        <w:t>vyhotovení</w:t>
      </w:r>
      <w:r w:rsidR="00076D64" w:rsidRPr="00D237C9">
        <w:t>.</w:t>
      </w:r>
    </w:p>
    <w:p w14:paraId="057025CF" w14:textId="0CFB2D45" w:rsidR="00844F4E" w:rsidRPr="00D237C9" w:rsidRDefault="00F77495" w:rsidP="005E32D4">
      <w:pPr>
        <w:numPr>
          <w:ilvl w:val="0"/>
          <w:numId w:val="15"/>
        </w:numPr>
        <w:jc w:val="both"/>
      </w:pPr>
      <w:r w:rsidRPr="00D237C9">
        <w:t>Zhotovitel bere na vědomí, že statutární město Brno je povinným subjektem dle zákona č. 106/1999 Sb., o svobodném přístupu k informacím, ve znění pozdějších předpisů, a zejména, že dle § 9 odst. 2 tohoto zákona se při poskytování informace, která se týká používání veřejných prostředků, nepovažuje poskytnutí informace o rozsahu a příjemci těchto prostředků za porušení obchodního tajemství.</w:t>
      </w:r>
    </w:p>
    <w:p w14:paraId="3A67330B" w14:textId="39736CA6" w:rsidR="005C21C1" w:rsidRPr="00D237C9" w:rsidRDefault="00F77495" w:rsidP="005E32D4">
      <w:pPr>
        <w:pStyle w:val="NoSpacing"/>
        <w:numPr>
          <w:ilvl w:val="0"/>
          <w:numId w:val="15"/>
        </w:numPr>
        <w:jc w:val="both"/>
      </w:pPr>
      <w:r w:rsidRPr="00D237C9">
        <w:t>Smluvní strany prohlašují, že tato smlouva byla sepsána na základě pravdivých údajů, podle jejich svobodné a vážné vůle, a na důkaz toho připojují své vlastnoruční podpisy.</w:t>
      </w:r>
    </w:p>
    <w:p w14:paraId="241DF35B" w14:textId="3BD858E6" w:rsidR="005C21C1" w:rsidRPr="00D237C9" w:rsidRDefault="00F77495" w:rsidP="005E32D4">
      <w:pPr>
        <w:pStyle w:val="NoSpacing"/>
        <w:numPr>
          <w:ilvl w:val="0"/>
          <w:numId w:val="15"/>
        </w:numPr>
        <w:jc w:val="both"/>
        <w:rPr>
          <w:rFonts w:eastAsia="Calibri"/>
          <w:bCs/>
        </w:rPr>
      </w:pPr>
      <w:r w:rsidRPr="00D237C9">
        <w:rPr>
          <w:rFonts w:eastAsia="Calibri"/>
          <w:bCs/>
        </w:rPr>
        <w:t>Zástupci smluvních stran si smlouvu přečetli, s jejím obsahem souhlasí, což stvrzují svým vlastnoručním podpisem.</w:t>
      </w:r>
    </w:p>
    <w:p w14:paraId="75D7366F" w14:textId="5C503A15" w:rsidR="00F77495" w:rsidRPr="00D237C9" w:rsidRDefault="00F77495" w:rsidP="00F77495">
      <w:pPr>
        <w:pStyle w:val="NoSpacing"/>
        <w:jc w:val="both"/>
        <w:rPr>
          <w:rFonts w:eastAsia="Calibri"/>
          <w:bCs/>
        </w:rPr>
      </w:pPr>
    </w:p>
    <w:p w14:paraId="1ED8370C" w14:textId="77777777" w:rsidR="00F77495" w:rsidRPr="00D237C9" w:rsidRDefault="00F77495" w:rsidP="00F77495">
      <w:pPr>
        <w:pStyle w:val="NoSpacing"/>
        <w:jc w:val="both"/>
        <w:rPr>
          <w:rFonts w:eastAsia="Calibri"/>
          <w:bCs/>
        </w:rPr>
      </w:pPr>
      <w:r w:rsidRPr="00D237C9">
        <w:rPr>
          <w:rFonts w:eastAsia="Calibri"/>
          <w:bCs/>
        </w:rPr>
        <w:t>Přílohy:</w:t>
      </w:r>
    </w:p>
    <w:p w14:paraId="08632333" w14:textId="77777777" w:rsidR="00DC34C1" w:rsidRPr="00D237C9" w:rsidRDefault="00BA035F" w:rsidP="00BF2E5B">
      <w:pPr>
        <w:pStyle w:val="NoSpacing"/>
        <w:numPr>
          <w:ilvl w:val="6"/>
          <w:numId w:val="15"/>
        </w:numPr>
        <w:tabs>
          <w:tab w:val="clear" w:pos="2340"/>
          <w:tab w:val="num" w:pos="709"/>
        </w:tabs>
        <w:ind w:left="709" w:hanging="283"/>
        <w:jc w:val="both"/>
        <w:rPr>
          <w:rFonts w:eastAsia="Calibri"/>
          <w:bCs/>
        </w:rPr>
      </w:pPr>
      <w:r w:rsidRPr="00D237C9">
        <w:rPr>
          <w:rFonts w:eastAsia="Calibri"/>
          <w:bCs/>
        </w:rPr>
        <w:t>Předmět zakázky</w:t>
      </w:r>
    </w:p>
    <w:p w14:paraId="2C0DB30A" w14:textId="2AE483D5" w:rsidR="00844F4E" w:rsidRPr="00D237C9" w:rsidRDefault="00844F4E" w:rsidP="006464B8">
      <w:pPr>
        <w:pStyle w:val="NoSpacing"/>
        <w:ind w:left="180"/>
      </w:pPr>
    </w:p>
    <w:p w14:paraId="4BFD4178" w14:textId="77777777" w:rsidR="00844F4E" w:rsidRDefault="00844F4E" w:rsidP="00844F4E">
      <w:pPr>
        <w:keepNext/>
        <w:ind w:left="5220" w:hanging="5220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5E7C30" w:rsidRPr="005E388B" w14:paraId="099726F5" w14:textId="77777777" w:rsidTr="009E19DC">
        <w:trPr>
          <w:trHeight w:val="232"/>
        </w:trPr>
        <w:tc>
          <w:tcPr>
            <w:tcW w:w="4673" w:type="dxa"/>
          </w:tcPr>
          <w:p w14:paraId="4DC57D72" w14:textId="77777777" w:rsidR="00CA35D5" w:rsidRPr="005E388B" w:rsidRDefault="00CA35D5" w:rsidP="009E19DC">
            <w:pPr>
              <w:pStyle w:val="NoSpacing"/>
            </w:pPr>
            <w:r>
              <w:t>V Brně dne 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4531" w:type="dxa"/>
          </w:tcPr>
          <w:p w14:paraId="2C6A6AFD" w14:textId="77777777" w:rsidR="00CA35D5" w:rsidRPr="005E388B" w:rsidRDefault="00CA35D5" w:rsidP="009E19DC">
            <w:pPr>
              <w:pStyle w:val="NoSpacing"/>
            </w:pPr>
            <w:r>
              <w:t>V …………</w:t>
            </w:r>
            <w:proofErr w:type="gramStart"/>
            <w:r>
              <w:t>…….</w:t>
            </w:r>
            <w:proofErr w:type="gramEnd"/>
            <w:r>
              <w:t>. dne 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06BE3D94" w14:textId="77777777" w:rsidR="00844F4E" w:rsidRDefault="00844F4E" w:rsidP="00844F4E">
      <w:pPr>
        <w:keepNext/>
        <w:tabs>
          <w:tab w:val="center" w:pos="2160"/>
          <w:tab w:val="center" w:pos="7020"/>
        </w:tabs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5E7C30" w:rsidRPr="005E388B" w14:paraId="45AABBCA" w14:textId="77777777" w:rsidTr="009E19DC">
        <w:trPr>
          <w:trHeight w:val="232"/>
        </w:trPr>
        <w:tc>
          <w:tcPr>
            <w:tcW w:w="4673" w:type="dxa"/>
          </w:tcPr>
          <w:p w14:paraId="4B4D0F90" w14:textId="77777777" w:rsidR="00CA35D5" w:rsidRPr="005E388B" w:rsidRDefault="00CA35D5" w:rsidP="009E19DC">
            <w:pPr>
              <w:pStyle w:val="NoSpacing"/>
            </w:pPr>
            <w:r>
              <w:rPr>
                <w:spacing w:val="-4"/>
              </w:rPr>
              <w:t>za zadavatele</w:t>
            </w:r>
            <w:r w:rsidRPr="005E388B">
              <w:rPr>
                <w:spacing w:val="-4"/>
              </w:rPr>
              <w:t>:</w:t>
            </w:r>
          </w:p>
        </w:tc>
        <w:tc>
          <w:tcPr>
            <w:tcW w:w="4531" w:type="dxa"/>
          </w:tcPr>
          <w:p w14:paraId="665AD503" w14:textId="77777777" w:rsidR="00CA35D5" w:rsidRPr="005E388B" w:rsidRDefault="00CA35D5" w:rsidP="009E19DC">
            <w:pPr>
              <w:pStyle w:val="NoSpacing"/>
            </w:pPr>
            <w:r>
              <w:rPr>
                <w:spacing w:val="-2"/>
              </w:rPr>
              <w:t>za dodavatele:</w:t>
            </w:r>
          </w:p>
        </w:tc>
      </w:tr>
    </w:tbl>
    <w:p w14:paraId="41F31D35" w14:textId="77777777" w:rsidR="00844F4E" w:rsidRDefault="00844F4E" w:rsidP="00844F4E">
      <w:pPr>
        <w:keepNext/>
        <w:tabs>
          <w:tab w:val="center" w:pos="2160"/>
          <w:tab w:val="center" w:pos="7020"/>
        </w:tabs>
      </w:pPr>
    </w:p>
    <w:p w14:paraId="26B45884" w14:textId="77777777" w:rsidR="00844F4E" w:rsidRDefault="00844F4E" w:rsidP="00844F4E">
      <w:pPr>
        <w:keepNext/>
        <w:tabs>
          <w:tab w:val="center" w:pos="2160"/>
          <w:tab w:val="center" w:pos="7020"/>
        </w:tabs>
      </w:pPr>
    </w:p>
    <w:p w14:paraId="6FB486C2" w14:textId="77777777" w:rsidR="00844F4E" w:rsidRDefault="00844F4E" w:rsidP="00844F4E">
      <w:pPr>
        <w:keepNext/>
        <w:tabs>
          <w:tab w:val="center" w:pos="2160"/>
          <w:tab w:val="center" w:pos="7020"/>
        </w:tabs>
      </w:pPr>
    </w:p>
    <w:p w14:paraId="7BA2B343" w14:textId="77777777" w:rsidR="000475C1" w:rsidRDefault="000475C1" w:rsidP="00844F4E">
      <w:pPr>
        <w:keepNext/>
        <w:tabs>
          <w:tab w:val="center" w:pos="2160"/>
          <w:tab w:val="center" w:pos="7020"/>
        </w:tabs>
      </w:pPr>
    </w:p>
    <w:p w14:paraId="2BC41C09" w14:textId="77777777" w:rsidR="000475C1" w:rsidRDefault="000475C1" w:rsidP="00844F4E">
      <w:pPr>
        <w:keepNext/>
        <w:tabs>
          <w:tab w:val="center" w:pos="2160"/>
          <w:tab w:val="center" w:pos="7020"/>
        </w:tabs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5E7C30" w:rsidRPr="005E388B" w14:paraId="34C9B4F6" w14:textId="77777777" w:rsidTr="009E19DC">
        <w:trPr>
          <w:trHeight w:val="232"/>
        </w:trPr>
        <w:tc>
          <w:tcPr>
            <w:tcW w:w="4673" w:type="dxa"/>
          </w:tcPr>
          <w:p w14:paraId="1D744124" w14:textId="77777777" w:rsidR="000475C1" w:rsidRDefault="000475C1" w:rsidP="009E19DC">
            <w:pPr>
              <w:pStyle w:val="NoSpacing"/>
            </w:pPr>
            <w:r>
              <w:t>………………………………………….</w:t>
            </w:r>
          </w:p>
          <w:p w14:paraId="0FF3BA94" w14:textId="77777777" w:rsidR="000475C1" w:rsidRPr="005E388B" w:rsidRDefault="000475C1" w:rsidP="00BC20D8">
            <w:pPr>
              <w:pStyle w:val="NoSpacing"/>
              <w:jc w:val="center"/>
            </w:pPr>
            <w:r>
              <w:t>…</w:t>
            </w:r>
          </w:p>
        </w:tc>
        <w:tc>
          <w:tcPr>
            <w:tcW w:w="4531" w:type="dxa"/>
          </w:tcPr>
          <w:p w14:paraId="14497199" w14:textId="77777777" w:rsidR="000475C1" w:rsidRDefault="000475C1" w:rsidP="009E19DC">
            <w:pPr>
              <w:pStyle w:val="NoSpacing"/>
            </w:pPr>
            <w:r>
              <w:t>………………………………………….</w:t>
            </w:r>
          </w:p>
          <w:p w14:paraId="6097A60A" w14:textId="77777777" w:rsidR="000475C1" w:rsidRPr="005E388B" w:rsidRDefault="000475C1" w:rsidP="00BC20D8">
            <w:pPr>
              <w:pStyle w:val="NoSpacing"/>
              <w:jc w:val="center"/>
            </w:pPr>
            <w:r>
              <w:t>…</w:t>
            </w:r>
          </w:p>
        </w:tc>
      </w:tr>
    </w:tbl>
    <w:p w14:paraId="155632BC" w14:textId="77777777" w:rsidR="00A527F7" w:rsidRDefault="00A527F7" w:rsidP="00185975">
      <w:pPr>
        <w:keepNext/>
        <w:tabs>
          <w:tab w:val="center" w:pos="1980"/>
          <w:tab w:val="center" w:pos="7020"/>
        </w:tabs>
        <w:spacing w:before="120"/>
        <w:rPr>
          <w:iCs/>
        </w:rPr>
        <w:sectPr w:rsidR="00A527F7" w:rsidSect="00E02460">
          <w:headerReference w:type="default" r:id="rId2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5D301DE" w14:textId="77777777" w:rsidR="00F42D52" w:rsidRPr="00CC26AA" w:rsidRDefault="00F42D52" w:rsidP="00185975">
      <w:pPr>
        <w:rPr>
          <w:iCs/>
        </w:rPr>
      </w:pPr>
      <w:bookmarkStart w:id="5" w:name="_6mef7ml4km7b"/>
      <w:bookmarkEnd w:id="5"/>
    </w:p>
    <w:sectPr w:rsidR="00F42D52" w:rsidRPr="00CC26AA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FC8C" w14:textId="77777777" w:rsidR="00C07558" w:rsidRDefault="00C07558">
      <w:r>
        <w:separator/>
      </w:r>
    </w:p>
  </w:endnote>
  <w:endnote w:type="continuationSeparator" w:id="0">
    <w:p w14:paraId="57930B5E" w14:textId="77777777" w:rsidR="00C07558" w:rsidRDefault="00C07558">
      <w:r>
        <w:continuationSeparator/>
      </w:r>
    </w:p>
  </w:endnote>
  <w:endnote w:type="continuationNotice" w:id="1">
    <w:p w14:paraId="7AA64A77" w14:textId="77777777" w:rsidR="00C07558" w:rsidRDefault="00C07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Univers Cd (WE)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6B3B" w14:textId="3CEA3F0F" w:rsidR="007E43F9" w:rsidRDefault="007E43F9" w:rsidP="008672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446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268F13" w14:textId="77777777" w:rsidR="007E43F9" w:rsidRDefault="007E4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E396" w14:textId="77777777" w:rsidR="007E43F9" w:rsidRDefault="007E43F9" w:rsidP="008672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F5A">
      <w:rPr>
        <w:rStyle w:val="PageNumber"/>
        <w:noProof/>
      </w:rPr>
      <w:t>18</w:t>
    </w:r>
    <w:r>
      <w:rPr>
        <w:rStyle w:val="PageNumber"/>
      </w:rPr>
      <w:fldChar w:fldCharType="end"/>
    </w:r>
  </w:p>
  <w:p w14:paraId="0991B9BA" w14:textId="77777777" w:rsidR="007E43F9" w:rsidRDefault="007E43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585C78" w14:paraId="6AFDE94C" w14:textId="77777777">
      <w:tc>
        <w:tcPr>
          <w:tcW w:w="3024" w:type="dxa"/>
        </w:tcPr>
        <w:p w14:paraId="72BA87F2" w14:textId="77777777" w:rsidR="008256BA" w:rsidRDefault="008256BA">
          <w:pPr>
            <w:pStyle w:val="Header"/>
            <w:ind w:left="-115"/>
          </w:pPr>
        </w:p>
      </w:tc>
      <w:tc>
        <w:tcPr>
          <w:tcW w:w="3024" w:type="dxa"/>
        </w:tcPr>
        <w:p w14:paraId="78FE393C" w14:textId="77777777" w:rsidR="008256BA" w:rsidRDefault="008256BA">
          <w:pPr>
            <w:pStyle w:val="Header"/>
            <w:jc w:val="center"/>
          </w:pPr>
        </w:p>
      </w:tc>
      <w:tc>
        <w:tcPr>
          <w:tcW w:w="3024" w:type="dxa"/>
        </w:tcPr>
        <w:p w14:paraId="4BE6A968" w14:textId="77777777" w:rsidR="008256BA" w:rsidRDefault="008256BA">
          <w:pPr>
            <w:pStyle w:val="Header"/>
            <w:ind w:right="-115"/>
            <w:jc w:val="right"/>
          </w:pPr>
        </w:p>
      </w:tc>
    </w:tr>
  </w:tbl>
  <w:p w14:paraId="29EC05BE" w14:textId="77777777" w:rsidR="008256BA" w:rsidRDefault="0082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5509" w14:textId="77777777" w:rsidR="00C07558" w:rsidRDefault="00C07558">
      <w:r>
        <w:separator/>
      </w:r>
    </w:p>
  </w:footnote>
  <w:footnote w:type="continuationSeparator" w:id="0">
    <w:p w14:paraId="6D614185" w14:textId="77777777" w:rsidR="00C07558" w:rsidRDefault="00C07558">
      <w:r>
        <w:continuationSeparator/>
      </w:r>
    </w:p>
  </w:footnote>
  <w:footnote w:type="continuationNotice" w:id="1">
    <w:p w14:paraId="062EC5CB" w14:textId="77777777" w:rsidR="00C07558" w:rsidRDefault="00C07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6662" w14:textId="54B79BA5" w:rsidR="00A6383C" w:rsidRDefault="00B32F71" w:rsidP="00C31990">
    <w:pPr>
      <w:pStyle w:val="Header"/>
      <w:jc w:val="right"/>
    </w:pPr>
    <w:r>
      <w:t xml:space="preserve">Zadávací </w:t>
    </w:r>
    <w:r w:rsidR="00471B9A">
      <w:t xml:space="preserve">dokumentace č. j. </w:t>
    </w:r>
    <w:r w:rsidR="00691BCB" w:rsidRPr="00691BCB">
      <w:t>MMB/0224439/2025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FC9B" w14:textId="78A9AD14" w:rsidR="007E43F9" w:rsidRDefault="007E43F9" w:rsidP="006E571C">
    <w:pPr>
      <w:pStyle w:val="Header"/>
      <w:jc w:val="right"/>
      <w:rPr>
        <w:b/>
      </w:rPr>
    </w:pPr>
    <w:r w:rsidRPr="00700332">
      <w:rPr>
        <w:b/>
      </w:rPr>
      <w:t xml:space="preserve">Příloha č. </w:t>
    </w:r>
    <w:r w:rsidR="003169D2">
      <w:rPr>
        <w:b/>
      </w:rPr>
      <w:t>1</w:t>
    </w:r>
    <w:r w:rsidRPr="00700332">
      <w:rPr>
        <w:b/>
      </w:rPr>
      <w:t xml:space="preserve"> </w:t>
    </w:r>
    <w:r w:rsidR="003169D2">
      <w:rPr>
        <w:b/>
      </w:rPr>
      <w:t>Komunikační strategie</w:t>
    </w:r>
  </w:p>
  <w:p w14:paraId="21953B15" w14:textId="77777777" w:rsidR="00E80B3C" w:rsidRDefault="00E80B3C" w:rsidP="00E80B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A780" w14:textId="719A1AA1" w:rsidR="004340A1" w:rsidRDefault="004340A1" w:rsidP="006E571C">
    <w:pPr>
      <w:pStyle w:val="Header"/>
      <w:jc w:val="right"/>
      <w:rPr>
        <w:b/>
      </w:rPr>
    </w:pPr>
    <w:r w:rsidRPr="00700332">
      <w:rPr>
        <w:b/>
      </w:rPr>
      <w:t xml:space="preserve">Příloha č. </w:t>
    </w:r>
    <w:r w:rsidR="003169D2">
      <w:rPr>
        <w:b/>
      </w:rPr>
      <w:t>2</w:t>
    </w:r>
    <w:r w:rsidRPr="00700332">
      <w:rPr>
        <w:b/>
      </w:rPr>
      <w:t xml:space="preserve"> </w:t>
    </w:r>
    <w:r w:rsidR="003169D2">
      <w:rPr>
        <w:b/>
      </w:rPr>
      <w:t>Předmět zakázky</w:t>
    </w:r>
  </w:p>
  <w:p w14:paraId="4007A733" w14:textId="77777777" w:rsidR="004340A1" w:rsidRDefault="004340A1" w:rsidP="00E80B3C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3623" w14:textId="799FFFE4" w:rsidR="003169D2" w:rsidRDefault="003169D2" w:rsidP="006E571C">
    <w:pPr>
      <w:pStyle w:val="Header"/>
      <w:jc w:val="right"/>
      <w:rPr>
        <w:b/>
      </w:rPr>
    </w:pPr>
    <w:r w:rsidRPr="00700332">
      <w:rPr>
        <w:b/>
      </w:rPr>
      <w:t xml:space="preserve">Příloha č. </w:t>
    </w:r>
    <w:r>
      <w:rPr>
        <w:b/>
      </w:rPr>
      <w:t>3</w:t>
    </w:r>
    <w:r w:rsidRPr="00700332">
      <w:rPr>
        <w:b/>
      </w:rPr>
      <w:t xml:space="preserve"> </w:t>
    </w:r>
    <w:r>
      <w:rPr>
        <w:b/>
      </w:rPr>
      <w:t>Krycí list nabídky</w:t>
    </w:r>
  </w:p>
  <w:p w14:paraId="02FDA972" w14:textId="77777777" w:rsidR="003169D2" w:rsidRDefault="003169D2" w:rsidP="00E80B3C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2904" w14:textId="30BC0DB5" w:rsidR="007E43F9" w:rsidRDefault="007E43F9" w:rsidP="007E388E">
    <w:pPr>
      <w:jc w:val="right"/>
      <w:rPr>
        <w:b/>
      </w:rPr>
    </w:pPr>
    <w:r w:rsidRPr="0071364D">
      <w:rPr>
        <w:b/>
        <w:highlight w:val="yellow"/>
      </w:rPr>
      <w:t xml:space="preserve">Příloha č. </w:t>
    </w:r>
    <w:r w:rsidR="00966468">
      <w:rPr>
        <w:b/>
        <w:highlight w:val="yellow"/>
      </w:rPr>
      <w:t>4</w:t>
    </w:r>
    <w:r w:rsidRPr="0071364D">
      <w:rPr>
        <w:b/>
        <w:highlight w:val="yellow"/>
      </w:rPr>
      <w:t xml:space="preserve"> </w:t>
    </w:r>
    <w:r w:rsidR="00966468">
      <w:rPr>
        <w:b/>
      </w:rPr>
      <w:t xml:space="preserve">Smlouva </w:t>
    </w:r>
    <w:r w:rsidR="0003000A">
      <w:rPr>
        <w:b/>
      </w:rPr>
      <w:t>o díl</w:t>
    </w:r>
    <w:r w:rsidR="00385234">
      <w:rPr>
        <w:b/>
      </w:rPr>
      <w:t>o</w:t>
    </w:r>
  </w:p>
  <w:p w14:paraId="73618F3F" w14:textId="77777777" w:rsidR="007E43F9" w:rsidRDefault="007E43F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585C78" w14:paraId="02134682" w14:textId="77777777">
      <w:tc>
        <w:tcPr>
          <w:tcW w:w="3024" w:type="dxa"/>
        </w:tcPr>
        <w:p w14:paraId="399C054B" w14:textId="77777777" w:rsidR="008256BA" w:rsidRDefault="008256BA">
          <w:pPr>
            <w:pStyle w:val="Header"/>
            <w:ind w:left="-115"/>
          </w:pPr>
        </w:p>
      </w:tc>
      <w:tc>
        <w:tcPr>
          <w:tcW w:w="3024" w:type="dxa"/>
        </w:tcPr>
        <w:p w14:paraId="3183DF9F" w14:textId="77777777" w:rsidR="008256BA" w:rsidRDefault="008256BA">
          <w:pPr>
            <w:pStyle w:val="Header"/>
            <w:jc w:val="center"/>
          </w:pPr>
        </w:p>
      </w:tc>
      <w:tc>
        <w:tcPr>
          <w:tcW w:w="3024" w:type="dxa"/>
        </w:tcPr>
        <w:p w14:paraId="2B269448" w14:textId="77777777" w:rsidR="008256BA" w:rsidRDefault="008256BA">
          <w:pPr>
            <w:pStyle w:val="Header"/>
            <w:ind w:right="-115"/>
            <w:jc w:val="right"/>
          </w:pPr>
        </w:p>
      </w:tc>
    </w:tr>
  </w:tbl>
  <w:p w14:paraId="38848D1E" w14:textId="77777777" w:rsidR="008256BA" w:rsidRDefault="00825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695"/>
    <w:multiLevelType w:val="hybridMultilevel"/>
    <w:tmpl w:val="A900D30A"/>
    <w:lvl w:ilvl="0" w:tplc="E13AF1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5C"/>
    <w:multiLevelType w:val="multilevel"/>
    <w:tmpl w:val="678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62372"/>
    <w:multiLevelType w:val="multilevel"/>
    <w:tmpl w:val="F7D6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52909"/>
    <w:multiLevelType w:val="multilevel"/>
    <w:tmpl w:val="E75C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61A47"/>
    <w:multiLevelType w:val="multilevel"/>
    <w:tmpl w:val="CC3EF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C56E5"/>
    <w:multiLevelType w:val="multilevel"/>
    <w:tmpl w:val="9ECEC3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3FD7E72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BB5A62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EF2B01"/>
    <w:multiLevelType w:val="multilevel"/>
    <w:tmpl w:val="1CD4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7C419F"/>
    <w:multiLevelType w:val="hybridMultilevel"/>
    <w:tmpl w:val="4620CD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F672C"/>
    <w:multiLevelType w:val="multilevel"/>
    <w:tmpl w:val="8CD43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70B6B"/>
    <w:multiLevelType w:val="multilevel"/>
    <w:tmpl w:val="921E317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2C7E60"/>
    <w:multiLevelType w:val="multilevel"/>
    <w:tmpl w:val="1F127C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30071E"/>
    <w:multiLevelType w:val="hybridMultilevel"/>
    <w:tmpl w:val="B6BE40DE"/>
    <w:lvl w:ilvl="0" w:tplc="9DDEF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A2F26"/>
    <w:multiLevelType w:val="multilevel"/>
    <w:tmpl w:val="32F2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29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F0830BC"/>
    <w:multiLevelType w:val="multilevel"/>
    <w:tmpl w:val="B440B3D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942F6"/>
    <w:multiLevelType w:val="hybridMultilevel"/>
    <w:tmpl w:val="A8DC7864"/>
    <w:lvl w:ilvl="0" w:tplc="7B6C7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87C36"/>
    <w:multiLevelType w:val="multilevel"/>
    <w:tmpl w:val="D68E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362AEF"/>
    <w:multiLevelType w:val="multilevel"/>
    <w:tmpl w:val="A15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FC4CC4"/>
    <w:multiLevelType w:val="multilevel"/>
    <w:tmpl w:val="237CB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0D5F16"/>
    <w:multiLevelType w:val="hybridMultilevel"/>
    <w:tmpl w:val="FFFFFFFF"/>
    <w:lvl w:ilvl="0" w:tplc="9440F1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D76C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0C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21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8D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64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87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42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25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0AAE"/>
    <w:multiLevelType w:val="multilevel"/>
    <w:tmpl w:val="A9E8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4C2986"/>
    <w:multiLevelType w:val="multilevel"/>
    <w:tmpl w:val="744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64338C"/>
    <w:multiLevelType w:val="multilevel"/>
    <w:tmpl w:val="593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B36ED3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FAB27A3"/>
    <w:multiLevelType w:val="multilevel"/>
    <w:tmpl w:val="8CA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091DC3"/>
    <w:multiLevelType w:val="multilevel"/>
    <w:tmpl w:val="0A3CE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733DE"/>
    <w:multiLevelType w:val="multilevel"/>
    <w:tmpl w:val="32F2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29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1892DD1"/>
    <w:multiLevelType w:val="multilevel"/>
    <w:tmpl w:val="C8E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7D0431"/>
    <w:multiLevelType w:val="hybridMultilevel"/>
    <w:tmpl w:val="0A862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90012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D5F18D5"/>
    <w:multiLevelType w:val="hybridMultilevel"/>
    <w:tmpl w:val="FFFFFFFF"/>
    <w:lvl w:ilvl="0" w:tplc="5E323324">
      <w:start w:val="1"/>
      <w:numFmt w:val="upperLetter"/>
      <w:lvlText w:val="%1)"/>
      <w:lvlJc w:val="left"/>
      <w:pPr>
        <w:ind w:left="720" w:hanging="360"/>
      </w:pPr>
    </w:lvl>
    <w:lvl w:ilvl="1" w:tplc="5B10CA66">
      <w:start w:val="1"/>
      <w:numFmt w:val="lowerLetter"/>
      <w:lvlText w:val="%2."/>
      <w:lvlJc w:val="left"/>
      <w:pPr>
        <w:ind w:left="1440" w:hanging="360"/>
      </w:pPr>
    </w:lvl>
    <w:lvl w:ilvl="2" w:tplc="58A6547E">
      <w:start w:val="1"/>
      <w:numFmt w:val="lowerRoman"/>
      <w:lvlText w:val="%3."/>
      <w:lvlJc w:val="right"/>
      <w:pPr>
        <w:ind w:left="2160" w:hanging="180"/>
      </w:pPr>
    </w:lvl>
    <w:lvl w:ilvl="3" w:tplc="0096F8F4">
      <w:start w:val="1"/>
      <w:numFmt w:val="decimal"/>
      <w:lvlText w:val="%4."/>
      <w:lvlJc w:val="left"/>
      <w:pPr>
        <w:ind w:left="2880" w:hanging="360"/>
      </w:pPr>
    </w:lvl>
    <w:lvl w:ilvl="4" w:tplc="42D07DA8">
      <w:start w:val="1"/>
      <w:numFmt w:val="lowerLetter"/>
      <w:lvlText w:val="%5."/>
      <w:lvlJc w:val="left"/>
      <w:pPr>
        <w:ind w:left="3600" w:hanging="360"/>
      </w:pPr>
    </w:lvl>
    <w:lvl w:ilvl="5" w:tplc="F2E4DF64">
      <w:start w:val="1"/>
      <w:numFmt w:val="lowerRoman"/>
      <w:lvlText w:val="%6."/>
      <w:lvlJc w:val="right"/>
      <w:pPr>
        <w:ind w:left="4320" w:hanging="180"/>
      </w:pPr>
    </w:lvl>
    <w:lvl w:ilvl="6" w:tplc="9432CFE4">
      <w:start w:val="1"/>
      <w:numFmt w:val="decimal"/>
      <w:lvlText w:val="%7."/>
      <w:lvlJc w:val="left"/>
      <w:pPr>
        <w:ind w:left="5040" w:hanging="360"/>
      </w:pPr>
    </w:lvl>
    <w:lvl w:ilvl="7" w:tplc="0C4653F8">
      <w:start w:val="1"/>
      <w:numFmt w:val="lowerLetter"/>
      <w:lvlText w:val="%8."/>
      <w:lvlJc w:val="left"/>
      <w:pPr>
        <w:ind w:left="5760" w:hanging="360"/>
      </w:pPr>
    </w:lvl>
    <w:lvl w:ilvl="8" w:tplc="E482E8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0618F"/>
    <w:multiLevelType w:val="multilevel"/>
    <w:tmpl w:val="01A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A35886"/>
    <w:multiLevelType w:val="multilevel"/>
    <w:tmpl w:val="F8C8A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35" w15:restartNumberingAfterBreak="0">
    <w:nsid w:val="61D60772"/>
    <w:multiLevelType w:val="hybridMultilevel"/>
    <w:tmpl w:val="3FE45864"/>
    <w:lvl w:ilvl="0" w:tplc="C74AD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36A31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F70E0"/>
    <w:multiLevelType w:val="multilevel"/>
    <w:tmpl w:val="2E4C71E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1B1BE9"/>
    <w:multiLevelType w:val="multilevel"/>
    <w:tmpl w:val="C6261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A81240D"/>
    <w:multiLevelType w:val="multilevel"/>
    <w:tmpl w:val="8B223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DC142FD"/>
    <w:multiLevelType w:val="multilevel"/>
    <w:tmpl w:val="58F8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C4703B"/>
    <w:multiLevelType w:val="hybridMultilevel"/>
    <w:tmpl w:val="A8DC7864"/>
    <w:lvl w:ilvl="0" w:tplc="7B6C7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73E65"/>
    <w:multiLevelType w:val="multilevel"/>
    <w:tmpl w:val="DD0EE9D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5E05845"/>
    <w:multiLevelType w:val="multilevel"/>
    <w:tmpl w:val="547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6558E0"/>
    <w:multiLevelType w:val="multilevel"/>
    <w:tmpl w:val="B734C34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BCA3A21"/>
    <w:multiLevelType w:val="hybridMultilevel"/>
    <w:tmpl w:val="A040327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49983522">
    <w:abstractNumId w:val="15"/>
  </w:num>
  <w:num w:numId="2" w16cid:durableId="1762919355">
    <w:abstractNumId w:val="27"/>
  </w:num>
  <w:num w:numId="3" w16cid:durableId="982735260">
    <w:abstractNumId w:val="35"/>
  </w:num>
  <w:num w:numId="4" w16cid:durableId="697202855">
    <w:abstractNumId w:val="28"/>
  </w:num>
  <w:num w:numId="5" w16cid:durableId="1352105268">
    <w:abstractNumId w:val="10"/>
  </w:num>
  <w:num w:numId="6" w16cid:durableId="470559745">
    <w:abstractNumId w:val="20"/>
  </w:num>
  <w:num w:numId="7" w16cid:durableId="5881946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3418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81010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48554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824208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436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64360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8937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1674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1069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5054519">
    <w:abstractNumId w:val="0"/>
  </w:num>
  <w:num w:numId="18" w16cid:durableId="167641366">
    <w:abstractNumId w:val="7"/>
  </w:num>
  <w:num w:numId="19" w16cid:durableId="1596788442">
    <w:abstractNumId w:val="45"/>
  </w:num>
  <w:num w:numId="20" w16cid:durableId="2034912639">
    <w:abstractNumId w:val="14"/>
  </w:num>
  <w:num w:numId="21" w16cid:durableId="438332536">
    <w:abstractNumId w:val="11"/>
  </w:num>
  <w:num w:numId="22" w16cid:durableId="109859372">
    <w:abstractNumId w:val="5"/>
  </w:num>
  <w:num w:numId="23" w16cid:durableId="1017999029">
    <w:abstractNumId w:val="16"/>
  </w:num>
  <w:num w:numId="24" w16cid:durableId="1539900580">
    <w:abstractNumId w:val="13"/>
  </w:num>
  <w:num w:numId="25" w16cid:durableId="947859971">
    <w:abstractNumId w:val="3"/>
  </w:num>
  <w:num w:numId="26" w16cid:durableId="1906723167">
    <w:abstractNumId w:val="18"/>
  </w:num>
  <w:num w:numId="27" w16cid:durableId="1396974497">
    <w:abstractNumId w:val="2"/>
  </w:num>
  <w:num w:numId="28" w16cid:durableId="1091509449">
    <w:abstractNumId w:val="40"/>
  </w:num>
  <w:num w:numId="29" w16cid:durableId="882644258">
    <w:abstractNumId w:val="19"/>
  </w:num>
  <w:num w:numId="30" w16cid:durableId="322392062">
    <w:abstractNumId w:val="26"/>
  </w:num>
  <w:num w:numId="31" w16cid:durableId="858204491">
    <w:abstractNumId w:val="33"/>
  </w:num>
  <w:num w:numId="32" w16cid:durableId="225654207">
    <w:abstractNumId w:val="43"/>
  </w:num>
  <w:num w:numId="33" w16cid:durableId="1071928437">
    <w:abstractNumId w:val="9"/>
  </w:num>
  <w:num w:numId="34" w16cid:durableId="581181242">
    <w:abstractNumId w:val="22"/>
  </w:num>
  <w:num w:numId="35" w16cid:durableId="1289122391">
    <w:abstractNumId w:val="29"/>
  </w:num>
  <w:num w:numId="36" w16cid:durableId="24528783">
    <w:abstractNumId w:val="23"/>
  </w:num>
  <w:num w:numId="37" w16cid:durableId="117964816">
    <w:abstractNumId w:val="24"/>
  </w:num>
  <w:num w:numId="38" w16cid:durableId="146823232">
    <w:abstractNumId w:val="1"/>
  </w:num>
  <w:num w:numId="39" w16cid:durableId="1296138148">
    <w:abstractNumId w:val="44"/>
  </w:num>
  <w:num w:numId="40" w16cid:durableId="710804543">
    <w:abstractNumId w:val="38"/>
  </w:num>
  <w:num w:numId="41" w16cid:durableId="718433797">
    <w:abstractNumId w:val="36"/>
  </w:num>
  <w:num w:numId="42" w16cid:durableId="1129085062">
    <w:abstractNumId w:val="12"/>
  </w:num>
  <w:num w:numId="43" w16cid:durableId="1044676345">
    <w:abstractNumId w:val="42"/>
  </w:num>
  <w:num w:numId="44" w16cid:durableId="410351056">
    <w:abstractNumId w:val="37"/>
  </w:num>
  <w:num w:numId="45" w16cid:durableId="1012416145">
    <w:abstractNumId w:val="32"/>
  </w:num>
  <w:num w:numId="46" w16cid:durableId="1036396761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F7"/>
    <w:rsid w:val="00000126"/>
    <w:rsid w:val="00000498"/>
    <w:rsid w:val="00001B3B"/>
    <w:rsid w:val="0000267C"/>
    <w:rsid w:val="00003F96"/>
    <w:rsid w:val="000051D5"/>
    <w:rsid w:val="000055D4"/>
    <w:rsid w:val="00006322"/>
    <w:rsid w:val="00010053"/>
    <w:rsid w:val="00010F81"/>
    <w:rsid w:val="00013441"/>
    <w:rsid w:val="00013523"/>
    <w:rsid w:val="00015B5D"/>
    <w:rsid w:val="00016A26"/>
    <w:rsid w:val="000171E6"/>
    <w:rsid w:val="000206B4"/>
    <w:rsid w:val="000214C9"/>
    <w:rsid w:val="00021542"/>
    <w:rsid w:val="00022EE7"/>
    <w:rsid w:val="000234CF"/>
    <w:rsid w:val="000237EC"/>
    <w:rsid w:val="00024034"/>
    <w:rsid w:val="00025983"/>
    <w:rsid w:val="00025F12"/>
    <w:rsid w:val="000261F6"/>
    <w:rsid w:val="0002665E"/>
    <w:rsid w:val="0003000A"/>
    <w:rsid w:val="00030E72"/>
    <w:rsid w:val="000351D4"/>
    <w:rsid w:val="00035836"/>
    <w:rsid w:val="000366AF"/>
    <w:rsid w:val="000371B9"/>
    <w:rsid w:val="00037468"/>
    <w:rsid w:val="000374BF"/>
    <w:rsid w:val="00040EFB"/>
    <w:rsid w:val="00041540"/>
    <w:rsid w:val="00042020"/>
    <w:rsid w:val="00042A24"/>
    <w:rsid w:val="000453F6"/>
    <w:rsid w:val="000471B5"/>
    <w:rsid w:val="000475C1"/>
    <w:rsid w:val="00047932"/>
    <w:rsid w:val="00047AD7"/>
    <w:rsid w:val="00047BE1"/>
    <w:rsid w:val="00047CF8"/>
    <w:rsid w:val="00050061"/>
    <w:rsid w:val="000504C6"/>
    <w:rsid w:val="0005153A"/>
    <w:rsid w:val="000531B8"/>
    <w:rsid w:val="000532B4"/>
    <w:rsid w:val="00056A3E"/>
    <w:rsid w:val="00057B13"/>
    <w:rsid w:val="000604EF"/>
    <w:rsid w:val="000612E5"/>
    <w:rsid w:val="0006144A"/>
    <w:rsid w:val="00062C44"/>
    <w:rsid w:val="00063C6A"/>
    <w:rsid w:val="00063EC0"/>
    <w:rsid w:val="00064A6B"/>
    <w:rsid w:val="00065861"/>
    <w:rsid w:val="000679B2"/>
    <w:rsid w:val="0007116F"/>
    <w:rsid w:val="00073DBB"/>
    <w:rsid w:val="0007486F"/>
    <w:rsid w:val="00075518"/>
    <w:rsid w:val="00075A61"/>
    <w:rsid w:val="00076D64"/>
    <w:rsid w:val="00080984"/>
    <w:rsid w:val="00080C7F"/>
    <w:rsid w:val="0008233E"/>
    <w:rsid w:val="000827A6"/>
    <w:rsid w:val="000835FD"/>
    <w:rsid w:val="000836F0"/>
    <w:rsid w:val="000844E4"/>
    <w:rsid w:val="000845AD"/>
    <w:rsid w:val="00086AE6"/>
    <w:rsid w:val="00091ED5"/>
    <w:rsid w:val="000926B2"/>
    <w:rsid w:val="00092B91"/>
    <w:rsid w:val="00092CB3"/>
    <w:rsid w:val="0009366C"/>
    <w:rsid w:val="000949D5"/>
    <w:rsid w:val="000963FF"/>
    <w:rsid w:val="00097EB8"/>
    <w:rsid w:val="00097F7C"/>
    <w:rsid w:val="000A1E2C"/>
    <w:rsid w:val="000A3597"/>
    <w:rsid w:val="000A44C2"/>
    <w:rsid w:val="000A4AA9"/>
    <w:rsid w:val="000A4EC6"/>
    <w:rsid w:val="000A4F8B"/>
    <w:rsid w:val="000A5168"/>
    <w:rsid w:val="000A5F23"/>
    <w:rsid w:val="000A7EFE"/>
    <w:rsid w:val="000B0600"/>
    <w:rsid w:val="000B15C6"/>
    <w:rsid w:val="000B28B8"/>
    <w:rsid w:val="000B2F78"/>
    <w:rsid w:val="000B3545"/>
    <w:rsid w:val="000B3626"/>
    <w:rsid w:val="000B4590"/>
    <w:rsid w:val="000B4F81"/>
    <w:rsid w:val="000B563B"/>
    <w:rsid w:val="000B58E0"/>
    <w:rsid w:val="000B5ACE"/>
    <w:rsid w:val="000B687D"/>
    <w:rsid w:val="000B6F1C"/>
    <w:rsid w:val="000B76D1"/>
    <w:rsid w:val="000C0819"/>
    <w:rsid w:val="000C0B2C"/>
    <w:rsid w:val="000C2707"/>
    <w:rsid w:val="000C7FC2"/>
    <w:rsid w:val="000D0EF7"/>
    <w:rsid w:val="000D13B0"/>
    <w:rsid w:val="000D1911"/>
    <w:rsid w:val="000D1944"/>
    <w:rsid w:val="000D42C8"/>
    <w:rsid w:val="000D4567"/>
    <w:rsid w:val="000D4DF2"/>
    <w:rsid w:val="000D5C34"/>
    <w:rsid w:val="000D5CBB"/>
    <w:rsid w:val="000D6113"/>
    <w:rsid w:val="000E143F"/>
    <w:rsid w:val="000E1546"/>
    <w:rsid w:val="000E1791"/>
    <w:rsid w:val="000E29E4"/>
    <w:rsid w:val="000E2EF7"/>
    <w:rsid w:val="000E3712"/>
    <w:rsid w:val="000E4AAD"/>
    <w:rsid w:val="000E52A9"/>
    <w:rsid w:val="000E6B4E"/>
    <w:rsid w:val="000E6DB1"/>
    <w:rsid w:val="000E6ECC"/>
    <w:rsid w:val="000E7550"/>
    <w:rsid w:val="000F0012"/>
    <w:rsid w:val="000F091C"/>
    <w:rsid w:val="000F0E97"/>
    <w:rsid w:val="000F19A3"/>
    <w:rsid w:val="000F1F7F"/>
    <w:rsid w:val="000F2778"/>
    <w:rsid w:val="000F3029"/>
    <w:rsid w:val="000F3068"/>
    <w:rsid w:val="000F3793"/>
    <w:rsid w:val="000F3BC3"/>
    <w:rsid w:val="000F57B0"/>
    <w:rsid w:val="000F6845"/>
    <w:rsid w:val="001022BC"/>
    <w:rsid w:val="001024AF"/>
    <w:rsid w:val="0010363F"/>
    <w:rsid w:val="00104FDD"/>
    <w:rsid w:val="0010603B"/>
    <w:rsid w:val="0010646A"/>
    <w:rsid w:val="00106A5F"/>
    <w:rsid w:val="0010784E"/>
    <w:rsid w:val="00111207"/>
    <w:rsid w:val="00112132"/>
    <w:rsid w:val="00112ED5"/>
    <w:rsid w:val="00113313"/>
    <w:rsid w:val="001148F4"/>
    <w:rsid w:val="00114E11"/>
    <w:rsid w:val="001153A9"/>
    <w:rsid w:val="0011628D"/>
    <w:rsid w:val="00116300"/>
    <w:rsid w:val="00116479"/>
    <w:rsid w:val="0011685D"/>
    <w:rsid w:val="00116E2A"/>
    <w:rsid w:val="0011758A"/>
    <w:rsid w:val="00121AD0"/>
    <w:rsid w:val="00122801"/>
    <w:rsid w:val="00123818"/>
    <w:rsid w:val="0012611D"/>
    <w:rsid w:val="00126867"/>
    <w:rsid w:val="001268AD"/>
    <w:rsid w:val="00127D27"/>
    <w:rsid w:val="00130B60"/>
    <w:rsid w:val="00130F24"/>
    <w:rsid w:val="001318CD"/>
    <w:rsid w:val="00132B75"/>
    <w:rsid w:val="00133BDD"/>
    <w:rsid w:val="001350B5"/>
    <w:rsid w:val="00136B2C"/>
    <w:rsid w:val="00140251"/>
    <w:rsid w:val="00140352"/>
    <w:rsid w:val="001404A1"/>
    <w:rsid w:val="00140AA3"/>
    <w:rsid w:val="00141295"/>
    <w:rsid w:val="001413F7"/>
    <w:rsid w:val="0014140B"/>
    <w:rsid w:val="00144A9A"/>
    <w:rsid w:val="00146F30"/>
    <w:rsid w:val="001520DB"/>
    <w:rsid w:val="00152414"/>
    <w:rsid w:val="00152426"/>
    <w:rsid w:val="001527EF"/>
    <w:rsid w:val="00153184"/>
    <w:rsid w:val="001532D2"/>
    <w:rsid w:val="00154A9C"/>
    <w:rsid w:val="0015506A"/>
    <w:rsid w:val="00155946"/>
    <w:rsid w:val="00156EDC"/>
    <w:rsid w:val="00157F57"/>
    <w:rsid w:val="00160999"/>
    <w:rsid w:val="00162D85"/>
    <w:rsid w:val="001637E7"/>
    <w:rsid w:val="00165126"/>
    <w:rsid w:val="00165DF0"/>
    <w:rsid w:val="001661D9"/>
    <w:rsid w:val="001675C0"/>
    <w:rsid w:val="00167C46"/>
    <w:rsid w:val="00167D48"/>
    <w:rsid w:val="001709B9"/>
    <w:rsid w:val="001720F4"/>
    <w:rsid w:val="0017275E"/>
    <w:rsid w:val="00172763"/>
    <w:rsid w:val="00172DAC"/>
    <w:rsid w:val="00172FDB"/>
    <w:rsid w:val="00173BA6"/>
    <w:rsid w:val="0017526B"/>
    <w:rsid w:val="00176AEC"/>
    <w:rsid w:val="001778BF"/>
    <w:rsid w:val="00177EB8"/>
    <w:rsid w:val="00180A8B"/>
    <w:rsid w:val="001811BE"/>
    <w:rsid w:val="001814FA"/>
    <w:rsid w:val="00181884"/>
    <w:rsid w:val="00181923"/>
    <w:rsid w:val="00183EF1"/>
    <w:rsid w:val="0018415F"/>
    <w:rsid w:val="001848D9"/>
    <w:rsid w:val="00184BB5"/>
    <w:rsid w:val="00185975"/>
    <w:rsid w:val="00186026"/>
    <w:rsid w:val="00186BBF"/>
    <w:rsid w:val="001871B3"/>
    <w:rsid w:val="00187C5B"/>
    <w:rsid w:val="00191286"/>
    <w:rsid w:val="00191B8B"/>
    <w:rsid w:val="00195467"/>
    <w:rsid w:val="00195728"/>
    <w:rsid w:val="001969F1"/>
    <w:rsid w:val="00196A06"/>
    <w:rsid w:val="00197A20"/>
    <w:rsid w:val="00197CEC"/>
    <w:rsid w:val="001A0ABA"/>
    <w:rsid w:val="001A129D"/>
    <w:rsid w:val="001A12C9"/>
    <w:rsid w:val="001A2817"/>
    <w:rsid w:val="001A2ABA"/>
    <w:rsid w:val="001A3841"/>
    <w:rsid w:val="001A4016"/>
    <w:rsid w:val="001A714A"/>
    <w:rsid w:val="001A75A2"/>
    <w:rsid w:val="001B062B"/>
    <w:rsid w:val="001B0652"/>
    <w:rsid w:val="001B15C3"/>
    <w:rsid w:val="001B1D01"/>
    <w:rsid w:val="001B210E"/>
    <w:rsid w:val="001B35C6"/>
    <w:rsid w:val="001B364E"/>
    <w:rsid w:val="001B3A12"/>
    <w:rsid w:val="001B605B"/>
    <w:rsid w:val="001B6AC1"/>
    <w:rsid w:val="001B6D13"/>
    <w:rsid w:val="001B7989"/>
    <w:rsid w:val="001C008D"/>
    <w:rsid w:val="001C010D"/>
    <w:rsid w:val="001C1AD1"/>
    <w:rsid w:val="001C25D9"/>
    <w:rsid w:val="001C2985"/>
    <w:rsid w:val="001C33DD"/>
    <w:rsid w:val="001C3C3F"/>
    <w:rsid w:val="001C3CAB"/>
    <w:rsid w:val="001C4A0B"/>
    <w:rsid w:val="001D001F"/>
    <w:rsid w:val="001D03BD"/>
    <w:rsid w:val="001D3544"/>
    <w:rsid w:val="001D498B"/>
    <w:rsid w:val="001D61A1"/>
    <w:rsid w:val="001D7FFC"/>
    <w:rsid w:val="001E110F"/>
    <w:rsid w:val="001E400F"/>
    <w:rsid w:val="001E53A1"/>
    <w:rsid w:val="001E6E3D"/>
    <w:rsid w:val="001E7723"/>
    <w:rsid w:val="001E7819"/>
    <w:rsid w:val="001E7BE6"/>
    <w:rsid w:val="001F1DFD"/>
    <w:rsid w:val="001F2155"/>
    <w:rsid w:val="001F2DD2"/>
    <w:rsid w:val="001F3405"/>
    <w:rsid w:val="001F3F6F"/>
    <w:rsid w:val="001F48E9"/>
    <w:rsid w:val="001F5890"/>
    <w:rsid w:val="001F6352"/>
    <w:rsid w:val="001F7711"/>
    <w:rsid w:val="001F7A7E"/>
    <w:rsid w:val="0020005C"/>
    <w:rsid w:val="002012DE"/>
    <w:rsid w:val="0020207C"/>
    <w:rsid w:val="00202212"/>
    <w:rsid w:val="00202449"/>
    <w:rsid w:val="00202932"/>
    <w:rsid w:val="00206009"/>
    <w:rsid w:val="00207E7D"/>
    <w:rsid w:val="00211057"/>
    <w:rsid w:val="00211CF8"/>
    <w:rsid w:val="00212A71"/>
    <w:rsid w:val="00212B68"/>
    <w:rsid w:val="002152E9"/>
    <w:rsid w:val="00216119"/>
    <w:rsid w:val="00216DFF"/>
    <w:rsid w:val="0021705B"/>
    <w:rsid w:val="002174EF"/>
    <w:rsid w:val="00217A9C"/>
    <w:rsid w:val="002209EC"/>
    <w:rsid w:val="00221395"/>
    <w:rsid w:val="00221542"/>
    <w:rsid w:val="002224E7"/>
    <w:rsid w:val="0022296B"/>
    <w:rsid w:val="0022331E"/>
    <w:rsid w:val="00224803"/>
    <w:rsid w:val="002250F2"/>
    <w:rsid w:val="00225580"/>
    <w:rsid w:val="00227676"/>
    <w:rsid w:val="00230A0F"/>
    <w:rsid w:val="002310BC"/>
    <w:rsid w:val="00231229"/>
    <w:rsid w:val="00231523"/>
    <w:rsid w:val="00232793"/>
    <w:rsid w:val="002329BD"/>
    <w:rsid w:val="00233DE2"/>
    <w:rsid w:val="00234541"/>
    <w:rsid w:val="00234929"/>
    <w:rsid w:val="00234979"/>
    <w:rsid w:val="00234BC4"/>
    <w:rsid w:val="00235616"/>
    <w:rsid w:val="00235C7C"/>
    <w:rsid w:val="00236E9C"/>
    <w:rsid w:val="00237037"/>
    <w:rsid w:val="00237897"/>
    <w:rsid w:val="00240004"/>
    <w:rsid w:val="00241A8E"/>
    <w:rsid w:val="00242186"/>
    <w:rsid w:val="002447CD"/>
    <w:rsid w:val="00246531"/>
    <w:rsid w:val="00247B63"/>
    <w:rsid w:val="0025077C"/>
    <w:rsid w:val="00250DCE"/>
    <w:rsid w:val="00251523"/>
    <w:rsid w:val="00253796"/>
    <w:rsid w:val="002539B4"/>
    <w:rsid w:val="002545CF"/>
    <w:rsid w:val="00254A61"/>
    <w:rsid w:val="00254EAE"/>
    <w:rsid w:val="00255B80"/>
    <w:rsid w:val="00255B8E"/>
    <w:rsid w:val="00255F77"/>
    <w:rsid w:val="002566A1"/>
    <w:rsid w:val="002613DD"/>
    <w:rsid w:val="0026423A"/>
    <w:rsid w:val="0026447F"/>
    <w:rsid w:val="0026528C"/>
    <w:rsid w:val="00266727"/>
    <w:rsid w:val="002678E5"/>
    <w:rsid w:val="00267E57"/>
    <w:rsid w:val="00271B3E"/>
    <w:rsid w:val="00272732"/>
    <w:rsid w:val="00273E66"/>
    <w:rsid w:val="0027597F"/>
    <w:rsid w:val="00275EC5"/>
    <w:rsid w:val="002760CF"/>
    <w:rsid w:val="00277559"/>
    <w:rsid w:val="00282A93"/>
    <w:rsid w:val="00283E5A"/>
    <w:rsid w:val="00286432"/>
    <w:rsid w:val="00286B80"/>
    <w:rsid w:val="00287021"/>
    <w:rsid w:val="00287AC0"/>
    <w:rsid w:val="00290186"/>
    <w:rsid w:val="00292550"/>
    <w:rsid w:val="00292C7E"/>
    <w:rsid w:val="0029483E"/>
    <w:rsid w:val="00294EB3"/>
    <w:rsid w:val="0029529F"/>
    <w:rsid w:val="002957E3"/>
    <w:rsid w:val="002A074A"/>
    <w:rsid w:val="002A09D8"/>
    <w:rsid w:val="002A4848"/>
    <w:rsid w:val="002A5E91"/>
    <w:rsid w:val="002A682B"/>
    <w:rsid w:val="002A6910"/>
    <w:rsid w:val="002A725A"/>
    <w:rsid w:val="002A7CDB"/>
    <w:rsid w:val="002B02B0"/>
    <w:rsid w:val="002B05C1"/>
    <w:rsid w:val="002B0E89"/>
    <w:rsid w:val="002B233D"/>
    <w:rsid w:val="002B287C"/>
    <w:rsid w:val="002B4B7E"/>
    <w:rsid w:val="002B5805"/>
    <w:rsid w:val="002C0200"/>
    <w:rsid w:val="002C0388"/>
    <w:rsid w:val="002C0852"/>
    <w:rsid w:val="002C0FBD"/>
    <w:rsid w:val="002C1203"/>
    <w:rsid w:val="002C20BB"/>
    <w:rsid w:val="002C2262"/>
    <w:rsid w:val="002C294B"/>
    <w:rsid w:val="002C2D08"/>
    <w:rsid w:val="002C7357"/>
    <w:rsid w:val="002D1803"/>
    <w:rsid w:val="002D1830"/>
    <w:rsid w:val="002D7329"/>
    <w:rsid w:val="002D7D5B"/>
    <w:rsid w:val="002E01E6"/>
    <w:rsid w:val="002E06B6"/>
    <w:rsid w:val="002E25CC"/>
    <w:rsid w:val="002E28B2"/>
    <w:rsid w:val="002E2EA6"/>
    <w:rsid w:val="002E3490"/>
    <w:rsid w:val="002E540C"/>
    <w:rsid w:val="002E55C6"/>
    <w:rsid w:val="002E5BEF"/>
    <w:rsid w:val="002F1A55"/>
    <w:rsid w:val="002F30F8"/>
    <w:rsid w:val="002F330D"/>
    <w:rsid w:val="002F3B07"/>
    <w:rsid w:val="002F53A8"/>
    <w:rsid w:val="002F7EC9"/>
    <w:rsid w:val="00300FD8"/>
    <w:rsid w:val="003021E3"/>
    <w:rsid w:val="00304531"/>
    <w:rsid w:val="00305D42"/>
    <w:rsid w:val="003073B9"/>
    <w:rsid w:val="003075D6"/>
    <w:rsid w:val="003124EB"/>
    <w:rsid w:val="00312539"/>
    <w:rsid w:val="003126E9"/>
    <w:rsid w:val="0031270C"/>
    <w:rsid w:val="003129DD"/>
    <w:rsid w:val="003142B5"/>
    <w:rsid w:val="003142E9"/>
    <w:rsid w:val="00315F9D"/>
    <w:rsid w:val="003165EA"/>
    <w:rsid w:val="003169D2"/>
    <w:rsid w:val="00317053"/>
    <w:rsid w:val="00321125"/>
    <w:rsid w:val="00321276"/>
    <w:rsid w:val="00321DE7"/>
    <w:rsid w:val="00322120"/>
    <w:rsid w:val="003231AE"/>
    <w:rsid w:val="0032349C"/>
    <w:rsid w:val="00325CB3"/>
    <w:rsid w:val="0032655E"/>
    <w:rsid w:val="00327B31"/>
    <w:rsid w:val="00330211"/>
    <w:rsid w:val="00330716"/>
    <w:rsid w:val="003327E3"/>
    <w:rsid w:val="003341C6"/>
    <w:rsid w:val="00334768"/>
    <w:rsid w:val="00334D9C"/>
    <w:rsid w:val="00335335"/>
    <w:rsid w:val="0033564F"/>
    <w:rsid w:val="00336096"/>
    <w:rsid w:val="00337427"/>
    <w:rsid w:val="00337662"/>
    <w:rsid w:val="003417AD"/>
    <w:rsid w:val="003432DC"/>
    <w:rsid w:val="00343807"/>
    <w:rsid w:val="00345869"/>
    <w:rsid w:val="003477D5"/>
    <w:rsid w:val="003502B2"/>
    <w:rsid w:val="00350B89"/>
    <w:rsid w:val="0035110A"/>
    <w:rsid w:val="003516FE"/>
    <w:rsid w:val="00351AE5"/>
    <w:rsid w:val="0035289C"/>
    <w:rsid w:val="00352A81"/>
    <w:rsid w:val="003530E3"/>
    <w:rsid w:val="00353D6A"/>
    <w:rsid w:val="003540EB"/>
    <w:rsid w:val="003547CF"/>
    <w:rsid w:val="00354D0B"/>
    <w:rsid w:val="00355F7E"/>
    <w:rsid w:val="003562E6"/>
    <w:rsid w:val="00356E83"/>
    <w:rsid w:val="00362960"/>
    <w:rsid w:val="00362F86"/>
    <w:rsid w:val="0036409F"/>
    <w:rsid w:val="00364134"/>
    <w:rsid w:val="00365AB4"/>
    <w:rsid w:val="003666A1"/>
    <w:rsid w:val="0037015F"/>
    <w:rsid w:val="0037242C"/>
    <w:rsid w:val="00372E11"/>
    <w:rsid w:val="00373C81"/>
    <w:rsid w:val="00373FED"/>
    <w:rsid w:val="003760F2"/>
    <w:rsid w:val="00376ACD"/>
    <w:rsid w:val="003821DA"/>
    <w:rsid w:val="00385107"/>
    <w:rsid w:val="00385234"/>
    <w:rsid w:val="00385AE1"/>
    <w:rsid w:val="00390937"/>
    <w:rsid w:val="003913C1"/>
    <w:rsid w:val="003916F2"/>
    <w:rsid w:val="00391838"/>
    <w:rsid w:val="00392C4C"/>
    <w:rsid w:val="00393D03"/>
    <w:rsid w:val="00393FB3"/>
    <w:rsid w:val="003944FD"/>
    <w:rsid w:val="00394E59"/>
    <w:rsid w:val="0039519A"/>
    <w:rsid w:val="00396795"/>
    <w:rsid w:val="00396B99"/>
    <w:rsid w:val="00397B0F"/>
    <w:rsid w:val="00397E61"/>
    <w:rsid w:val="003A05B4"/>
    <w:rsid w:val="003A0C2B"/>
    <w:rsid w:val="003A1F71"/>
    <w:rsid w:val="003A2819"/>
    <w:rsid w:val="003A44B6"/>
    <w:rsid w:val="003A6155"/>
    <w:rsid w:val="003A7CC8"/>
    <w:rsid w:val="003B252D"/>
    <w:rsid w:val="003B27FD"/>
    <w:rsid w:val="003B3669"/>
    <w:rsid w:val="003B3CA4"/>
    <w:rsid w:val="003B44D2"/>
    <w:rsid w:val="003B531C"/>
    <w:rsid w:val="003B5C8D"/>
    <w:rsid w:val="003B67F5"/>
    <w:rsid w:val="003B6DEE"/>
    <w:rsid w:val="003B71C2"/>
    <w:rsid w:val="003B7206"/>
    <w:rsid w:val="003B79B0"/>
    <w:rsid w:val="003B79BA"/>
    <w:rsid w:val="003C0589"/>
    <w:rsid w:val="003C0F59"/>
    <w:rsid w:val="003C176F"/>
    <w:rsid w:val="003C2D79"/>
    <w:rsid w:val="003C3354"/>
    <w:rsid w:val="003C5FCB"/>
    <w:rsid w:val="003C6521"/>
    <w:rsid w:val="003D1A91"/>
    <w:rsid w:val="003D1C0E"/>
    <w:rsid w:val="003D263F"/>
    <w:rsid w:val="003D3CD8"/>
    <w:rsid w:val="003D3D9F"/>
    <w:rsid w:val="003D5183"/>
    <w:rsid w:val="003D66D2"/>
    <w:rsid w:val="003E018B"/>
    <w:rsid w:val="003E0612"/>
    <w:rsid w:val="003E2C30"/>
    <w:rsid w:val="003E42B0"/>
    <w:rsid w:val="003E4B7F"/>
    <w:rsid w:val="003E54EB"/>
    <w:rsid w:val="003E569C"/>
    <w:rsid w:val="003E76B9"/>
    <w:rsid w:val="003E773A"/>
    <w:rsid w:val="003F1568"/>
    <w:rsid w:val="003F593F"/>
    <w:rsid w:val="003F5B42"/>
    <w:rsid w:val="003F5DB5"/>
    <w:rsid w:val="00400F49"/>
    <w:rsid w:val="00400F6C"/>
    <w:rsid w:val="004039AE"/>
    <w:rsid w:val="00403BB2"/>
    <w:rsid w:val="00403EDD"/>
    <w:rsid w:val="0040423F"/>
    <w:rsid w:val="004054BA"/>
    <w:rsid w:val="004058D6"/>
    <w:rsid w:val="004063DC"/>
    <w:rsid w:val="00406FA2"/>
    <w:rsid w:val="00407C61"/>
    <w:rsid w:val="004106AE"/>
    <w:rsid w:val="004130B4"/>
    <w:rsid w:val="00413A3C"/>
    <w:rsid w:val="00414F78"/>
    <w:rsid w:val="00415A8C"/>
    <w:rsid w:val="00417A27"/>
    <w:rsid w:val="00417C48"/>
    <w:rsid w:val="00421A61"/>
    <w:rsid w:val="00421E35"/>
    <w:rsid w:val="00422F5C"/>
    <w:rsid w:val="004230EB"/>
    <w:rsid w:val="004230F4"/>
    <w:rsid w:val="00423DD5"/>
    <w:rsid w:val="00424FCF"/>
    <w:rsid w:val="0042502A"/>
    <w:rsid w:val="0042564F"/>
    <w:rsid w:val="00426E3B"/>
    <w:rsid w:val="00427935"/>
    <w:rsid w:val="00430608"/>
    <w:rsid w:val="00431474"/>
    <w:rsid w:val="004314A8"/>
    <w:rsid w:val="00431E82"/>
    <w:rsid w:val="00432F91"/>
    <w:rsid w:val="00433C3B"/>
    <w:rsid w:val="00433EDD"/>
    <w:rsid w:val="004340A1"/>
    <w:rsid w:val="00436A8C"/>
    <w:rsid w:val="004373E7"/>
    <w:rsid w:val="00437910"/>
    <w:rsid w:val="00441443"/>
    <w:rsid w:val="00442C8F"/>
    <w:rsid w:val="004437FC"/>
    <w:rsid w:val="0044395B"/>
    <w:rsid w:val="004439F4"/>
    <w:rsid w:val="0044461A"/>
    <w:rsid w:val="004449EE"/>
    <w:rsid w:val="00444A0B"/>
    <w:rsid w:val="00446736"/>
    <w:rsid w:val="00446F79"/>
    <w:rsid w:val="004475E8"/>
    <w:rsid w:val="0044764E"/>
    <w:rsid w:val="004479DE"/>
    <w:rsid w:val="00447A1E"/>
    <w:rsid w:val="004508FD"/>
    <w:rsid w:val="00452337"/>
    <w:rsid w:val="004528B9"/>
    <w:rsid w:val="0045313C"/>
    <w:rsid w:val="004531E4"/>
    <w:rsid w:val="004531EC"/>
    <w:rsid w:val="0045439D"/>
    <w:rsid w:val="00455061"/>
    <w:rsid w:val="00455209"/>
    <w:rsid w:val="00456740"/>
    <w:rsid w:val="00457805"/>
    <w:rsid w:val="004603FD"/>
    <w:rsid w:val="0046057C"/>
    <w:rsid w:val="0046312D"/>
    <w:rsid w:val="00463352"/>
    <w:rsid w:val="004637B1"/>
    <w:rsid w:val="00463A00"/>
    <w:rsid w:val="00464F47"/>
    <w:rsid w:val="00465626"/>
    <w:rsid w:val="00466D9C"/>
    <w:rsid w:val="00470907"/>
    <w:rsid w:val="00471221"/>
    <w:rsid w:val="00471B9A"/>
    <w:rsid w:val="00472F86"/>
    <w:rsid w:val="0047516E"/>
    <w:rsid w:val="004752C1"/>
    <w:rsid w:val="004762E9"/>
    <w:rsid w:val="0047646E"/>
    <w:rsid w:val="00477602"/>
    <w:rsid w:val="004779D6"/>
    <w:rsid w:val="00480082"/>
    <w:rsid w:val="00481B1C"/>
    <w:rsid w:val="004823A2"/>
    <w:rsid w:val="00482FEF"/>
    <w:rsid w:val="00483075"/>
    <w:rsid w:val="004838CC"/>
    <w:rsid w:val="0048422E"/>
    <w:rsid w:val="00484A1C"/>
    <w:rsid w:val="004857A8"/>
    <w:rsid w:val="004869A3"/>
    <w:rsid w:val="00486C7C"/>
    <w:rsid w:val="00486DC4"/>
    <w:rsid w:val="00487C29"/>
    <w:rsid w:val="00487C51"/>
    <w:rsid w:val="00490318"/>
    <w:rsid w:val="00491364"/>
    <w:rsid w:val="00492D51"/>
    <w:rsid w:val="0049354E"/>
    <w:rsid w:val="00493AE6"/>
    <w:rsid w:val="0049498B"/>
    <w:rsid w:val="00495585"/>
    <w:rsid w:val="0049573B"/>
    <w:rsid w:val="00497F00"/>
    <w:rsid w:val="004A05CB"/>
    <w:rsid w:val="004A3608"/>
    <w:rsid w:val="004A3DAB"/>
    <w:rsid w:val="004A4F4D"/>
    <w:rsid w:val="004A6517"/>
    <w:rsid w:val="004A721E"/>
    <w:rsid w:val="004A7381"/>
    <w:rsid w:val="004A7E11"/>
    <w:rsid w:val="004B1B81"/>
    <w:rsid w:val="004B2A10"/>
    <w:rsid w:val="004B455A"/>
    <w:rsid w:val="004B47C0"/>
    <w:rsid w:val="004B4895"/>
    <w:rsid w:val="004B5B93"/>
    <w:rsid w:val="004B65C5"/>
    <w:rsid w:val="004B69B2"/>
    <w:rsid w:val="004B7FD7"/>
    <w:rsid w:val="004C08DC"/>
    <w:rsid w:val="004C2283"/>
    <w:rsid w:val="004C32A6"/>
    <w:rsid w:val="004C362C"/>
    <w:rsid w:val="004C3960"/>
    <w:rsid w:val="004C5913"/>
    <w:rsid w:val="004C5A34"/>
    <w:rsid w:val="004C5C4E"/>
    <w:rsid w:val="004C60DC"/>
    <w:rsid w:val="004C6648"/>
    <w:rsid w:val="004D21E2"/>
    <w:rsid w:val="004D27D4"/>
    <w:rsid w:val="004D3C10"/>
    <w:rsid w:val="004D3DBF"/>
    <w:rsid w:val="004D423B"/>
    <w:rsid w:val="004D5559"/>
    <w:rsid w:val="004D62EC"/>
    <w:rsid w:val="004D7281"/>
    <w:rsid w:val="004D7710"/>
    <w:rsid w:val="004E0E8D"/>
    <w:rsid w:val="004E180A"/>
    <w:rsid w:val="004E221B"/>
    <w:rsid w:val="004E2DE3"/>
    <w:rsid w:val="004E2E62"/>
    <w:rsid w:val="004E3919"/>
    <w:rsid w:val="004E5A93"/>
    <w:rsid w:val="004E5BDB"/>
    <w:rsid w:val="004E6139"/>
    <w:rsid w:val="004E6535"/>
    <w:rsid w:val="004E6664"/>
    <w:rsid w:val="004F0363"/>
    <w:rsid w:val="004F18F6"/>
    <w:rsid w:val="004F1BE2"/>
    <w:rsid w:val="004F265C"/>
    <w:rsid w:val="004F2C42"/>
    <w:rsid w:val="004F2F6B"/>
    <w:rsid w:val="00500521"/>
    <w:rsid w:val="00502EC4"/>
    <w:rsid w:val="005030A3"/>
    <w:rsid w:val="005033D1"/>
    <w:rsid w:val="005043FB"/>
    <w:rsid w:val="00506B5C"/>
    <w:rsid w:val="005072B8"/>
    <w:rsid w:val="00507E29"/>
    <w:rsid w:val="00511DF5"/>
    <w:rsid w:val="00511E45"/>
    <w:rsid w:val="00513BDB"/>
    <w:rsid w:val="005179E1"/>
    <w:rsid w:val="00517A4A"/>
    <w:rsid w:val="00517B99"/>
    <w:rsid w:val="005206F4"/>
    <w:rsid w:val="00520784"/>
    <w:rsid w:val="00521C78"/>
    <w:rsid w:val="005236F7"/>
    <w:rsid w:val="005237C4"/>
    <w:rsid w:val="005239DA"/>
    <w:rsid w:val="00523D28"/>
    <w:rsid w:val="00524655"/>
    <w:rsid w:val="0052561D"/>
    <w:rsid w:val="00526BDB"/>
    <w:rsid w:val="00530E8D"/>
    <w:rsid w:val="00530F4D"/>
    <w:rsid w:val="005310E4"/>
    <w:rsid w:val="00532134"/>
    <w:rsid w:val="005324EF"/>
    <w:rsid w:val="0053350A"/>
    <w:rsid w:val="00533C13"/>
    <w:rsid w:val="00534840"/>
    <w:rsid w:val="00534A68"/>
    <w:rsid w:val="005354DB"/>
    <w:rsid w:val="00535EF5"/>
    <w:rsid w:val="00535FB4"/>
    <w:rsid w:val="0053665B"/>
    <w:rsid w:val="00536B37"/>
    <w:rsid w:val="005375E1"/>
    <w:rsid w:val="005437AA"/>
    <w:rsid w:val="00543A1C"/>
    <w:rsid w:val="00545FCC"/>
    <w:rsid w:val="00546361"/>
    <w:rsid w:val="00546683"/>
    <w:rsid w:val="005466E0"/>
    <w:rsid w:val="005473E9"/>
    <w:rsid w:val="00547801"/>
    <w:rsid w:val="0055066E"/>
    <w:rsid w:val="005518F3"/>
    <w:rsid w:val="005525DE"/>
    <w:rsid w:val="00554C4E"/>
    <w:rsid w:val="005554BD"/>
    <w:rsid w:val="00555653"/>
    <w:rsid w:val="00555A43"/>
    <w:rsid w:val="00555B06"/>
    <w:rsid w:val="005561D7"/>
    <w:rsid w:val="005578F3"/>
    <w:rsid w:val="00561759"/>
    <w:rsid w:val="00561C99"/>
    <w:rsid w:val="00561D32"/>
    <w:rsid w:val="00563A70"/>
    <w:rsid w:val="00563E7A"/>
    <w:rsid w:val="00564CEF"/>
    <w:rsid w:val="00565306"/>
    <w:rsid w:val="00566322"/>
    <w:rsid w:val="00566440"/>
    <w:rsid w:val="00566A22"/>
    <w:rsid w:val="00566D19"/>
    <w:rsid w:val="005672E5"/>
    <w:rsid w:val="00571364"/>
    <w:rsid w:val="00572EF8"/>
    <w:rsid w:val="00573C35"/>
    <w:rsid w:val="00573DD9"/>
    <w:rsid w:val="00573E10"/>
    <w:rsid w:val="00573EDE"/>
    <w:rsid w:val="005741D4"/>
    <w:rsid w:val="00575C0C"/>
    <w:rsid w:val="00576ECF"/>
    <w:rsid w:val="0057794A"/>
    <w:rsid w:val="00577F63"/>
    <w:rsid w:val="005826D0"/>
    <w:rsid w:val="00583CED"/>
    <w:rsid w:val="00583EB7"/>
    <w:rsid w:val="00584115"/>
    <w:rsid w:val="00584D0E"/>
    <w:rsid w:val="00585C78"/>
    <w:rsid w:val="00585FD8"/>
    <w:rsid w:val="005906F8"/>
    <w:rsid w:val="00590769"/>
    <w:rsid w:val="0059193A"/>
    <w:rsid w:val="005922C9"/>
    <w:rsid w:val="00593008"/>
    <w:rsid w:val="00593CD5"/>
    <w:rsid w:val="00594BB0"/>
    <w:rsid w:val="0059510E"/>
    <w:rsid w:val="005951B8"/>
    <w:rsid w:val="00595590"/>
    <w:rsid w:val="0059582E"/>
    <w:rsid w:val="00596625"/>
    <w:rsid w:val="005968E1"/>
    <w:rsid w:val="00596CED"/>
    <w:rsid w:val="00597907"/>
    <w:rsid w:val="00597AA2"/>
    <w:rsid w:val="005A028D"/>
    <w:rsid w:val="005A0858"/>
    <w:rsid w:val="005A0926"/>
    <w:rsid w:val="005A1790"/>
    <w:rsid w:val="005A2E7B"/>
    <w:rsid w:val="005A34B0"/>
    <w:rsid w:val="005A357B"/>
    <w:rsid w:val="005A4DA3"/>
    <w:rsid w:val="005A4E1A"/>
    <w:rsid w:val="005A574C"/>
    <w:rsid w:val="005A6A9F"/>
    <w:rsid w:val="005A7165"/>
    <w:rsid w:val="005A76DE"/>
    <w:rsid w:val="005A7BCD"/>
    <w:rsid w:val="005B0DCA"/>
    <w:rsid w:val="005B1AB1"/>
    <w:rsid w:val="005B32A6"/>
    <w:rsid w:val="005B3E50"/>
    <w:rsid w:val="005B61E2"/>
    <w:rsid w:val="005B6241"/>
    <w:rsid w:val="005C0BFA"/>
    <w:rsid w:val="005C10C1"/>
    <w:rsid w:val="005C1F04"/>
    <w:rsid w:val="005C21C1"/>
    <w:rsid w:val="005C3A52"/>
    <w:rsid w:val="005C3C0A"/>
    <w:rsid w:val="005C3E63"/>
    <w:rsid w:val="005C51E0"/>
    <w:rsid w:val="005C679A"/>
    <w:rsid w:val="005C6D23"/>
    <w:rsid w:val="005C72B8"/>
    <w:rsid w:val="005D0C78"/>
    <w:rsid w:val="005D115B"/>
    <w:rsid w:val="005D123C"/>
    <w:rsid w:val="005D25FE"/>
    <w:rsid w:val="005D410C"/>
    <w:rsid w:val="005D5A6B"/>
    <w:rsid w:val="005D5E3A"/>
    <w:rsid w:val="005D60EE"/>
    <w:rsid w:val="005D64F9"/>
    <w:rsid w:val="005D66DB"/>
    <w:rsid w:val="005D696C"/>
    <w:rsid w:val="005D6CB6"/>
    <w:rsid w:val="005D7861"/>
    <w:rsid w:val="005E00AB"/>
    <w:rsid w:val="005E0E87"/>
    <w:rsid w:val="005E1772"/>
    <w:rsid w:val="005E223E"/>
    <w:rsid w:val="005E32D4"/>
    <w:rsid w:val="005E3A9B"/>
    <w:rsid w:val="005E6375"/>
    <w:rsid w:val="005E65B4"/>
    <w:rsid w:val="005E6B63"/>
    <w:rsid w:val="005E7C30"/>
    <w:rsid w:val="005F1320"/>
    <w:rsid w:val="005F27C0"/>
    <w:rsid w:val="005F337E"/>
    <w:rsid w:val="005F3502"/>
    <w:rsid w:val="005F4560"/>
    <w:rsid w:val="005F4596"/>
    <w:rsid w:val="005F466A"/>
    <w:rsid w:val="005F4DB2"/>
    <w:rsid w:val="005F52F2"/>
    <w:rsid w:val="005F5743"/>
    <w:rsid w:val="005F67E4"/>
    <w:rsid w:val="00600CD2"/>
    <w:rsid w:val="00601383"/>
    <w:rsid w:val="006018FC"/>
    <w:rsid w:val="00601DA5"/>
    <w:rsid w:val="00602A20"/>
    <w:rsid w:val="00603C75"/>
    <w:rsid w:val="00603E91"/>
    <w:rsid w:val="0060417D"/>
    <w:rsid w:val="00604F86"/>
    <w:rsid w:val="00606470"/>
    <w:rsid w:val="00606CE8"/>
    <w:rsid w:val="00606F3D"/>
    <w:rsid w:val="006077A4"/>
    <w:rsid w:val="00610418"/>
    <w:rsid w:val="00610480"/>
    <w:rsid w:val="006109BB"/>
    <w:rsid w:val="006109F6"/>
    <w:rsid w:val="00610DD9"/>
    <w:rsid w:val="00611F86"/>
    <w:rsid w:val="0061743A"/>
    <w:rsid w:val="00617EC9"/>
    <w:rsid w:val="006214C8"/>
    <w:rsid w:val="00622BF0"/>
    <w:rsid w:val="00622F24"/>
    <w:rsid w:val="0062319D"/>
    <w:rsid w:val="00624DD0"/>
    <w:rsid w:val="00625201"/>
    <w:rsid w:val="00625B1D"/>
    <w:rsid w:val="006267F5"/>
    <w:rsid w:val="00626C83"/>
    <w:rsid w:val="00627FAE"/>
    <w:rsid w:val="00630F0A"/>
    <w:rsid w:val="006313A1"/>
    <w:rsid w:val="00631725"/>
    <w:rsid w:val="00636505"/>
    <w:rsid w:val="00636809"/>
    <w:rsid w:val="00637098"/>
    <w:rsid w:val="00637C84"/>
    <w:rsid w:val="00637E58"/>
    <w:rsid w:val="00643896"/>
    <w:rsid w:val="006464B8"/>
    <w:rsid w:val="00646D13"/>
    <w:rsid w:val="00646F43"/>
    <w:rsid w:val="00650791"/>
    <w:rsid w:val="006512C4"/>
    <w:rsid w:val="0065193B"/>
    <w:rsid w:val="006521C9"/>
    <w:rsid w:val="00654904"/>
    <w:rsid w:val="00654969"/>
    <w:rsid w:val="006557DA"/>
    <w:rsid w:val="006559C8"/>
    <w:rsid w:val="0065727A"/>
    <w:rsid w:val="00661613"/>
    <w:rsid w:val="00661C35"/>
    <w:rsid w:val="006622C3"/>
    <w:rsid w:val="0066266A"/>
    <w:rsid w:val="00662DB4"/>
    <w:rsid w:val="00662DCB"/>
    <w:rsid w:val="00662DEC"/>
    <w:rsid w:val="0066438B"/>
    <w:rsid w:val="0066438E"/>
    <w:rsid w:val="00664641"/>
    <w:rsid w:val="00674103"/>
    <w:rsid w:val="00674773"/>
    <w:rsid w:val="00674F7C"/>
    <w:rsid w:val="00676C85"/>
    <w:rsid w:val="00677339"/>
    <w:rsid w:val="00677FC9"/>
    <w:rsid w:val="00681794"/>
    <w:rsid w:val="006826A9"/>
    <w:rsid w:val="00682761"/>
    <w:rsid w:val="00684207"/>
    <w:rsid w:val="006913AE"/>
    <w:rsid w:val="00691814"/>
    <w:rsid w:val="00691B30"/>
    <w:rsid w:val="00691BCB"/>
    <w:rsid w:val="0069223C"/>
    <w:rsid w:val="00692F1D"/>
    <w:rsid w:val="006954EC"/>
    <w:rsid w:val="00695B96"/>
    <w:rsid w:val="00696037"/>
    <w:rsid w:val="006964C1"/>
    <w:rsid w:val="006A107E"/>
    <w:rsid w:val="006A4489"/>
    <w:rsid w:val="006A46C5"/>
    <w:rsid w:val="006A4E07"/>
    <w:rsid w:val="006A5348"/>
    <w:rsid w:val="006A5408"/>
    <w:rsid w:val="006A5484"/>
    <w:rsid w:val="006A54D7"/>
    <w:rsid w:val="006A6CF3"/>
    <w:rsid w:val="006A704D"/>
    <w:rsid w:val="006A715E"/>
    <w:rsid w:val="006A71EC"/>
    <w:rsid w:val="006A7D52"/>
    <w:rsid w:val="006B0A57"/>
    <w:rsid w:val="006B0B0E"/>
    <w:rsid w:val="006B1F45"/>
    <w:rsid w:val="006B1F7D"/>
    <w:rsid w:val="006B24F4"/>
    <w:rsid w:val="006B2B6B"/>
    <w:rsid w:val="006B4707"/>
    <w:rsid w:val="006B5397"/>
    <w:rsid w:val="006B7295"/>
    <w:rsid w:val="006B7D4E"/>
    <w:rsid w:val="006B7DC7"/>
    <w:rsid w:val="006C065B"/>
    <w:rsid w:val="006C1769"/>
    <w:rsid w:val="006C1C37"/>
    <w:rsid w:val="006C281F"/>
    <w:rsid w:val="006C3028"/>
    <w:rsid w:val="006C3B41"/>
    <w:rsid w:val="006C41BC"/>
    <w:rsid w:val="006C4DF0"/>
    <w:rsid w:val="006C4EAE"/>
    <w:rsid w:val="006C4ED5"/>
    <w:rsid w:val="006C61D5"/>
    <w:rsid w:val="006C7E8F"/>
    <w:rsid w:val="006D089F"/>
    <w:rsid w:val="006D0ED3"/>
    <w:rsid w:val="006D0EF1"/>
    <w:rsid w:val="006D2EA0"/>
    <w:rsid w:val="006D4692"/>
    <w:rsid w:val="006D5449"/>
    <w:rsid w:val="006D5FB4"/>
    <w:rsid w:val="006D641D"/>
    <w:rsid w:val="006D7F74"/>
    <w:rsid w:val="006E0569"/>
    <w:rsid w:val="006E0B32"/>
    <w:rsid w:val="006E18C3"/>
    <w:rsid w:val="006E2FC7"/>
    <w:rsid w:val="006E3D7D"/>
    <w:rsid w:val="006E4994"/>
    <w:rsid w:val="006E571C"/>
    <w:rsid w:val="006E6F02"/>
    <w:rsid w:val="006E734B"/>
    <w:rsid w:val="006E74EA"/>
    <w:rsid w:val="006E7A0C"/>
    <w:rsid w:val="006F0F75"/>
    <w:rsid w:val="006F2B82"/>
    <w:rsid w:val="006F371D"/>
    <w:rsid w:val="006F4E73"/>
    <w:rsid w:val="006F638D"/>
    <w:rsid w:val="006F728B"/>
    <w:rsid w:val="00700125"/>
    <w:rsid w:val="00700332"/>
    <w:rsid w:val="007009AB"/>
    <w:rsid w:val="00700F7F"/>
    <w:rsid w:val="0070256C"/>
    <w:rsid w:val="007049B3"/>
    <w:rsid w:val="007050E3"/>
    <w:rsid w:val="00705470"/>
    <w:rsid w:val="00705957"/>
    <w:rsid w:val="0071121D"/>
    <w:rsid w:val="007115F9"/>
    <w:rsid w:val="00712163"/>
    <w:rsid w:val="00712C70"/>
    <w:rsid w:val="0071364D"/>
    <w:rsid w:val="0071377C"/>
    <w:rsid w:val="00713C2F"/>
    <w:rsid w:val="007147B2"/>
    <w:rsid w:val="00714AE5"/>
    <w:rsid w:val="00715F6C"/>
    <w:rsid w:val="00716C0A"/>
    <w:rsid w:val="00716CA1"/>
    <w:rsid w:val="00717989"/>
    <w:rsid w:val="00717CCF"/>
    <w:rsid w:val="00720255"/>
    <w:rsid w:val="00720B56"/>
    <w:rsid w:val="00723B26"/>
    <w:rsid w:val="00724688"/>
    <w:rsid w:val="00726667"/>
    <w:rsid w:val="00726C3E"/>
    <w:rsid w:val="007270DF"/>
    <w:rsid w:val="00730722"/>
    <w:rsid w:val="007314E8"/>
    <w:rsid w:val="007318AB"/>
    <w:rsid w:val="00732B13"/>
    <w:rsid w:val="007331B6"/>
    <w:rsid w:val="007341F6"/>
    <w:rsid w:val="00736227"/>
    <w:rsid w:val="00737D97"/>
    <w:rsid w:val="00741224"/>
    <w:rsid w:val="00741994"/>
    <w:rsid w:val="0074238A"/>
    <w:rsid w:val="0074276B"/>
    <w:rsid w:val="00742B4B"/>
    <w:rsid w:val="00743B8E"/>
    <w:rsid w:val="007441F3"/>
    <w:rsid w:val="007445C8"/>
    <w:rsid w:val="00744E0E"/>
    <w:rsid w:val="00746A0F"/>
    <w:rsid w:val="00747933"/>
    <w:rsid w:val="00750060"/>
    <w:rsid w:val="007511B1"/>
    <w:rsid w:val="00751E1F"/>
    <w:rsid w:val="00751FF8"/>
    <w:rsid w:val="00754D44"/>
    <w:rsid w:val="00755A27"/>
    <w:rsid w:val="00755A37"/>
    <w:rsid w:val="007564C9"/>
    <w:rsid w:val="00756F03"/>
    <w:rsid w:val="0075790D"/>
    <w:rsid w:val="00757C97"/>
    <w:rsid w:val="0076174E"/>
    <w:rsid w:val="00761FD9"/>
    <w:rsid w:val="0076280B"/>
    <w:rsid w:val="00762BE9"/>
    <w:rsid w:val="00764082"/>
    <w:rsid w:val="00765677"/>
    <w:rsid w:val="0076573C"/>
    <w:rsid w:val="00767C6C"/>
    <w:rsid w:val="00767D09"/>
    <w:rsid w:val="007702F6"/>
    <w:rsid w:val="00772B3F"/>
    <w:rsid w:val="0077410F"/>
    <w:rsid w:val="00776112"/>
    <w:rsid w:val="007774E9"/>
    <w:rsid w:val="00777B50"/>
    <w:rsid w:val="00777E44"/>
    <w:rsid w:val="007802BD"/>
    <w:rsid w:val="007808BC"/>
    <w:rsid w:val="007828B3"/>
    <w:rsid w:val="007830DE"/>
    <w:rsid w:val="007839BC"/>
    <w:rsid w:val="00783A69"/>
    <w:rsid w:val="00784117"/>
    <w:rsid w:val="0078436C"/>
    <w:rsid w:val="00784437"/>
    <w:rsid w:val="00784A13"/>
    <w:rsid w:val="007858F1"/>
    <w:rsid w:val="00786333"/>
    <w:rsid w:val="00786EB3"/>
    <w:rsid w:val="00787E9A"/>
    <w:rsid w:val="00790B5F"/>
    <w:rsid w:val="0079213A"/>
    <w:rsid w:val="00792E6E"/>
    <w:rsid w:val="00793C27"/>
    <w:rsid w:val="00793FEB"/>
    <w:rsid w:val="0079544D"/>
    <w:rsid w:val="00796158"/>
    <w:rsid w:val="00796409"/>
    <w:rsid w:val="00797C19"/>
    <w:rsid w:val="007A0027"/>
    <w:rsid w:val="007A0B31"/>
    <w:rsid w:val="007A1B3B"/>
    <w:rsid w:val="007A48F7"/>
    <w:rsid w:val="007A4F81"/>
    <w:rsid w:val="007A5D80"/>
    <w:rsid w:val="007A67DB"/>
    <w:rsid w:val="007A7042"/>
    <w:rsid w:val="007B2462"/>
    <w:rsid w:val="007B2563"/>
    <w:rsid w:val="007B3871"/>
    <w:rsid w:val="007B47CD"/>
    <w:rsid w:val="007B4E6E"/>
    <w:rsid w:val="007B519E"/>
    <w:rsid w:val="007B7D30"/>
    <w:rsid w:val="007C028B"/>
    <w:rsid w:val="007C0679"/>
    <w:rsid w:val="007C1225"/>
    <w:rsid w:val="007C1E0A"/>
    <w:rsid w:val="007C2A7B"/>
    <w:rsid w:val="007C2CFA"/>
    <w:rsid w:val="007C354A"/>
    <w:rsid w:val="007C477D"/>
    <w:rsid w:val="007C5902"/>
    <w:rsid w:val="007C71AD"/>
    <w:rsid w:val="007D1EAA"/>
    <w:rsid w:val="007D24A3"/>
    <w:rsid w:val="007D34BC"/>
    <w:rsid w:val="007D627F"/>
    <w:rsid w:val="007D651A"/>
    <w:rsid w:val="007D7926"/>
    <w:rsid w:val="007E11BD"/>
    <w:rsid w:val="007E1F07"/>
    <w:rsid w:val="007E388E"/>
    <w:rsid w:val="007E3BEF"/>
    <w:rsid w:val="007E43F9"/>
    <w:rsid w:val="007E4B33"/>
    <w:rsid w:val="007E56D4"/>
    <w:rsid w:val="007E5E3D"/>
    <w:rsid w:val="007E7C96"/>
    <w:rsid w:val="007F3BBE"/>
    <w:rsid w:val="007F568A"/>
    <w:rsid w:val="007F69B2"/>
    <w:rsid w:val="007F73CF"/>
    <w:rsid w:val="007F7B8A"/>
    <w:rsid w:val="007F7D06"/>
    <w:rsid w:val="00800A4F"/>
    <w:rsid w:val="00800CC5"/>
    <w:rsid w:val="00801341"/>
    <w:rsid w:val="008028A7"/>
    <w:rsid w:val="00802FAD"/>
    <w:rsid w:val="008039BC"/>
    <w:rsid w:val="00803B70"/>
    <w:rsid w:val="008056FA"/>
    <w:rsid w:val="008062C1"/>
    <w:rsid w:val="00806921"/>
    <w:rsid w:val="0081056F"/>
    <w:rsid w:val="00810FDD"/>
    <w:rsid w:val="0081274F"/>
    <w:rsid w:val="00812DD7"/>
    <w:rsid w:val="00813571"/>
    <w:rsid w:val="00813A0B"/>
    <w:rsid w:val="00814B28"/>
    <w:rsid w:val="008150F3"/>
    <w:rsid w:val="00816B84"/>
    <w:rsid w:val="00816CD8"/>
    <w:rsid w:val="00817017"/>
    <w:rsid w:val="00821517"/>
    <w:rsid w:val="0082269F"/>
    <w:rsid w:val="008235FF"/>
    <w:rsid w:val="00823FF2"/>
    <w:rsid w:val="008256BA"/>
    <w:rsid w:val="0082615E"/>
    <w:rsid w:val="008274D4"/>
    <w:rsid w:val="00827BF6"/>
    <w:rsid w:val="00831EC9"/>
    <w:rsid w:val="0083275F"/>
    <w:rsid w:val="00833B5C"/>
    <w:rsid w:val="00833BFA"/>
    <w:rsid w:val="00833ED9"/>
    <w:rsid w:val="00834F71"/>
    <w:rsid w:val="0083530A"/>
    <w:rsid w:val="00835569"/>
    <w:rsid w:val="0083596A"/>
    <w:rsid w:val="00836C04"/>
    <w:rsid w:val="00837740"/>
    <w:rsid w:val="008400AC"/>
    <w:rsid w:val="00840BBE"/>
    <w:rsid w:val="00842760"/>
    <w:rsid w:val="00842D64"/>
    <w:rsid w:val="00844538"/>
    <w:rsid w:val="00844F4E"/>
    <w:rsid w:val="00846027"/>
    <w:rsid w:val="00846820"/>
    <w:rsid w:val="008475AA"/>
    <w:rsid w:val="00847CB5"/>
    <w:rsid w:val="00850287"/>
    <w:rsid w:val="00850D42"/>
    <w:rsid w:val="00851657"/>
    <w:rsid w:val="008537DA"/>
    <w:rsid w:val="00853F7A"/>
    <w:rsid w:val="00854354"/>
    <w:rsid w:val="00854BDA"/>
    <w:rsid w:val="00855408"/>
    <w:rsid w:val="00855F76"/>
    <w:rsid w:val="0086007A"/>
    <w:rsid w:val="00860AAA"/>
    <w:rsid w:val="00861293"/>
    <w:rsid w:val="008615F2"/>
    <w:rsid w:val="00862700"/>
    <w:rsid w:val="0086283E"/>
    <w:rsid w:val="00862F00"/>
    <w:rsid w:val="00862FC5"/>
    <w:rsid w:val="008637CF"/>
    <w:rsid w:val="00866DB6"/>
    <w:rsid w:val="008672D2"/>
    <w:rsid w:val="00867AA1"/>
    <w:rsid w:val="00867CEA"/>
    <w:rsid w:val="00870753"/>
    <w:rsid w:val="00870A66"/>
    <w:rsid w:val="00870F08"/>
    <w:rsid w:val="00871E11"/>
    <w:rsid w:val="00872767"/>
    <w:rsid w:val="008744B7"/>
    <w:rsid w:val="00874B2F"/>
    <w:rsid w:val="00874CA1"/>
    <w:rsid w:val="00874FC2"/>
    <w:rsid w:val="00875978"/>
    <w:rsid w:val="00875C1D"/>
    <w:rsid w:val="0087618D"/>
    <w:rsid w:val="008762B7"/>
    <w:rsid w:val="00876CC9"/>
    <w:rsid w:val="00880456"/>
    <w:rsid w:val="008808F1"/>
    <w:rsid w:val="00881001"/>
    <w:rsid w:val="00881CC4"/>
    <w:rsid w:val="008829F5"/>
    <w:rsid w:val="00882D02"/>
    <w:rsid w:val="00882E1D"/>
    <w:rsid w:val="00887861"/>
    <w:rsid w:val="008913BB"/>
    <w:rsid w:val="00891A2F"/>
    <w:rsid w:val="00891E58"/>
    <w:rsid w:val="00892D04"/>
    <w:rsid w:val="00892E18"/>
    <w:rsid w:val="008931F6"/>
    <w:rsid w:val="00893C7D"/>
    <w:rsid w:val="00893EE6"/>
    <w:rsid w:val="008943A9"/>
    <w:rsid w:val="008943BE"/>
    <w:rsid w:val="00894564"/>
    <w:rsid w:val="00894F43"/>
    <w:rsid w:val="00895062"/>
    <w:rsid w:val="008960A9"/>
    <w:rsid w:val="008964CF"/>
    <w:rsid w:val="00896A49"/>
    <w:rsid w:val="008A1056"/>
    <w:rsid w:val="008A1410"/>
    <w:rsid w:val="008A209E"/>
    <w:rsid w:val="008A3217"/>
    <w:rsid w:val="008A4AA0"/>
    <w:rsid w:val="008A50BA"/>
    <w:rsid w:val="008A5738"/>
    <w:rsid w:val="008A641C"/>
    <w:rsid w:val="008A6893"/>
    <w:rsid w:val="008A749C"/>
    <w:rsid w:val="008A7B2A"/>
    <w:rsid w:val="008B0326"/>
    <w:rsid w:val="008B18A2"/>
    <w:rsid w:val="008B2104"/>
    <w:rsid w:val="008B32B2"/>
    <w:rsid w:val="008B4581"/>
    <w:rsid w:val="008B4FA1"/>
    <w:rsid w:val="008B516F"/>
    <w:rsid w:val="008C16E8"/>
    <w:rsid w:val="008C2357"/>
    <w:rsid w:val="008C2FC3"/>
    <w:rsid w:val="008C4092"/>
    <w:rsid w:val="008C65CF"/>
    <w:rsid w:val="008C7D2F"/>
    <w:rsid w:val="008D038A"/>
    <w:rsid w:val="008D0544"/>
    <w:rsid w:val="008D08F0"/>
    <w:rsid w:val="008D09DE"/>
    <w:rsid w:val="008D0F2E"/>
    <w:rsid w:val="008D285E"/>
    <w:rsid w:val="008D33D4"/>
    <w:rsid w:val="008D4D91"/>
    <w:rsid w:val="008D5100"/>
    <w:rsid w:val="008E11E5"/>
    <w:rsid w:val="008E167B"/>
    <w:rsid w:val="008E1D77"/>
    <w:rsid w:val="008E3427"/>
    <w:rsid w:val="008E4FAB"/>
    <w:rsid w:val="008E5EED"/>
    <w:rsid w:val="008E633D"/>
    <w:rsid w:val="008E6855"/>
    <w:rsid w:val="008E6FD3"/>
    <w:rsid w:val="008F0362"/>
    <w:rsid w:val="008F0BD1"/>
    <w:rsid w:val="008F38FF"/>
    <w:rsid w:val="008F641D"/>
    <w:rsid w:val="008F77DE"/>
    <w:rsid w:val="008F7F0C"/>
    <w:rsid w:val="00900576"/>
    <w:rsid w:val="00901339"/>
    <w:rsid w:val="00901B6A"/>
    <w:rsid w:val="0090330A"/>
    <w:rsid w:val="0090381F"/>
    <w:rsid w:val="00903E55"/>
    <w:rsid w:val="00904890"/>
    <w:rsid w:val="00905B66"/>
    <w:rsid w:val="00905E71"/>
    <w:rsid w:val="00907183"/>
    <w:rsid w:val="009074B6"/>
    <w:rsid w:val="00907CDA"/>
    <w:rsid w:val="00911091"/>
    <w:rsid w:val="00911466"/>
    <w:rsid w:val="0091395A"/>
    <w:rsid w:val="00913C24"/>
    <w:rsid w:val="0091418D"/>
    <w:rsid w:val="00914ED6"/>
    <w:rsid w:val="00915AAF"/>
    <w:rsid w:val="00915BBE"/>
    <w:rsid w:val="00915E37"/>
    <w:rsid w:val="00916F0C"/>
    <w:rsid w:val="009200CC"/>
    <w:rsid w:val="0092082C"/>
    <w:rsid w:val="00922232"/>
    <w:rsid w:val="009224F9"/>
    <w:rsid w:val="009231F2"/>
    <w:rsid w:val="00923E99"/>
    <w:rsid w:val="00923F5A"/>
    <w:rsid w:val="00924019"/>
    <w:rsid w:val="00924527"/>
    <w:rsid w:val="0092588C"/>
    <w:rsid w:val="009323AB"/>
    <w:rsid w:val="0093285B"/>
    <w:rsid w:val="00933DE7"/>
    <w:rsid w:val="00935063"/>
    <w:rsid w:val="009355D3"/>
    <w:rsid w:val="00936656"/>
    <w:rsid w:val="00937120"/>
    <w:rsid w:val="009371D8"/>
    <w:rsid w:val="00937375"/>
    <w:rsid w:val="00937654"/>
    <w:rsid w:val="009429ED"/>
    <w:rsid w:val="00943470"/>
    <w:rsid w:val="00944581"/>
    <w:rsid w:val="00945C9F"/>
    <w:rsid w:val="009467AF"/>
    <w:rsid w:val="00950FE3"/>
    <w:rsid w:val="00951E97"/>
    <w:rsid w:val="00954E71"/>
    <w:rsid w:val="00957290"/>
    <w:rsid w:val="0095760D"/>
    <w:rsid w:val="00960F7D"/>
    <w:rsid w:val="00961EFD"/>
    <w:rsid w:val="0096440C"/>
    <w:rsid w:val="00966468"/>
    <w:rsid w:val="00970922"/>
    <w:rsid w:val="0097225B"/>
    <w:rsid w:val="00972B02"/>
    <w:rsid w:val="00975658"/>
    <w:rsid w:val="00976700"/>
    <w:rsid w:val="00976E2E"/>
    <w:rsid w:val="0097755A"/>
    <w:rsid w:val="00977836"/>
    <w:rsid w:val="00980034"/>
    <w:rsid w:val="0098003E"/>
    <w:rsid w:val="0098008A"/>
    <w:rsid w:val="00980505"/>
    <w:rsid w:val="009824A1"/>
    <w:rsid w:val="009826D9"/>
    <w:rsid w:val="00982B06"/>
    <w:rsid w:val="00983794"/>
    <w:rsid w:val="00984E0E"/>
    <w:rsid w:val="00986210"/>
    <w:rsid w:val="00986E5C"/>
    <w:rsid w:val="00987635"/>
    <w:rsid w:val="009935F3"/>
    <w:rsid w:val="009937F8"/>
    <w:rsid w:val="00994E53"/>
    <w:rsid w:val="0099503B"/>
    <w:rsid w:val="00997391"/>
    <w:rsid w:val="009975B7"/>
    <w:rsid w:val="00997690"/>
    <w:rsid w:val="009979BB"/>
    <w:rsid w:val="009A011A"/>
    <w:rsid w:val="009A104C"/>
    <w:rsid w:val="009A1E22"/>
    <w:rsid w:val="009A2870"/>
    <w:rsid w:val="009A3681"/>
    <w:rsid w:val="009A54CE"/>
    <w:rsid w:val="009A5A9F"/>
    <w:rsid w:val="009ACF3E"/>
    <w:rsid w:val="009B242F"/>
    <w:rsid w:val="009B2FCD"/>
    <w:rsid w:val="009B4804"/>
    <w:rsid w:val="009B523A"/>
    <w:rsid w:val="009B5AE2"/>
    <w:rsid w:val="009B5CBF"/>
    <w:rsid w:val="009B68B8"/>
    <w:rsid w:val="009B7AA3"/>
    <w:rsid w:val="009B7D37"/>
    <w:rsid w:val="009C09DF"/>
    <w:rsid w:val="009C1544"/>
    <w:rsid w:val="009C1867"/>
    <w:rsid w:val="009C1BDB"/>
    <w:rsid w:val="009C23EE"/>
    <w:rsid w:val="009C249D"/>
    <w:rsid w:val="009C3148"/>
    <w:rsid w:val="009C33E9"/>
    <w:rsid w:val="009C4A26"/>
    <w:rsid w:val="009C5545"/>
    <w:rsid w:val="009C5643"/>
    <w:rsid w:val="009C6D44"/>
    <w:rsid w:val="009C7E9E"/>
    <w:rsid w:val="009D013E"/>
    <w:rsid w:val="009D0FB9"/>
    <w:rsid w:val="009D2C3E"/>
    <w:rsid w:val="009D3056"/>
    <w:rsid w:val="009D370A"/>
    <w:rsid w:val="009D3FD2"/>
    <w:rsid w:val="009D4029"/>
    <w:rsid w:val="009D4427"/>
    <w:rsid w:val="009D51AC"/>
    <w:rsid w:val="009D667D"/>
    <w:rsid w:val="009D6BC7"/>
    <w:rsid w:val="009E0DA0"/>
    <w:rsid w:val="009E1604"/>
    <w:rsid w:val="009E19DC"/>
    <w:rsid w:val="009E1A85"/>
    <w:rsid w:val="009E5BF6"/>
    <w:rsid w:val="009E6246"/>
    <w:rsid w:val="009E787D"/>
    <w:rsid w:val="009E7E9D"/>
    <w:rsid w:val="009ECCAE"/>
    <w:rsid w:val="009F0426"/>
    <w:rsid w:val="009F09FB"/>
    <w:rsid w:val="009F12A7"/>
    <w:rsid w:val="009F2C66"/>
    <w:rsid w:val="009F310B"/>
    <w:rsid w:val="009F35F0"/>
    <w:rsid w:val="009F46D9"/>
    <w:rsid w:val="009F5978"/>
    <w:rsid w:val="009F6633"/>
    <w:rsid w:val="00A0038E"/>
    <w:rsid w:val="00A00465"/>
    <w:rsid w:val="00A005DC"/>
    <w:rsid w:val="00A00DC0"/>
    <w:rsid w:val="00A03FAA"/>
    <w:rsid w:val="00A043FB"/>
    <w:rsid w:val="00A05B6B"/>
    <w:rsid w:val="00A06EEE"/>
    <w:rsid w:val="00A079D4"/>
    <w:rsid w:val="00A1013A"/>
    <w:rsid w:val="00A10421"/>
    <w:rsid w:val="00A125E4"/>
    <w:rsid w:val="00A12E93"/>
    <w:rsid w:val="00A13298"/>
    <w:rsid w:val="00A159FE"/>
    <w:rsid w:val="00A15C8D"/>
    <w:rsid w:val="00A20DFF"/>
    <w:rsid w:val="00A215FD"/>
    <w:rsid w:val="00A232CF"/>
    <w:rsid w:val="00A23A6F"/>
    <w:rsid w:val="00A24E21"/>
    <w:rsid w:val="00A25429"/>
    <w:rsid w:val="00A27113"/>
    <w:rsid w:val="00A300FB"/>
    <w:rsid w:val="00A3069D"/>
    <w:rsid w:val="00A3074F"/>
    <w:rsid w:val="00A30DC0"/>
    <w:rsid w:val="00A34426"/>
    <w:rsid w:val="00A344BF"/>
    <w:rsid w:val="00A346BD"/>
    <w:rsid w:val="00A36459"/>
    <w:rsid w:val="00A376A3"/>
    <w:rsid w:val="00A37CFB"/>
    <w:rsid w:val="00A43C2F"/>
    <w:rsid w:val="00A4637D"/>
    <w:rsid w:val="00A46EA1"/>
    <w:rsid w:val="00A47CCC"/>
    <w:rsid w:val="00A5141B"/>
    <w:rsid w:val="00A527F7"/>
    <w:rsid w:val="00A53F32"/>
    <w:rsid w:val="00A55140"/>
    <w:rsid w:val="00A56CE5"/>
    <w:rsid w:val="00A57F3A"/>
    <w:rsid w:val="00A613C2"/>
    <w:rsid w:val="00A61D56"/>
    <w:rsid w:val="00A61EAE"/>
    <w:rsid w:val="00A6383C"/>
    <w:rsid w:val="00A63974"/>
    <w:rsid w:val="00A63E2E"/>
    <w:rsid w:val="00A664D8"/>
    <w:rsid w:val="00A716CB"/>
    <w:rsid w:val="00A72807"/>
    <w:rsid w:val="00A72BDD"/>
    <w:rsid w:val="00A73A25"/>
    <w:rsid w:val="00A75CDB"/>
    <w:rsid w:val="00A76FC3"/>
    <w:rsid w:val="00A77745"/>
    <w:rsid w:val="00A77980"/>
    <w:rsid w:val="00A8028B"/>
    <w:rsid w:val="00A80394"/>
    <w:rsid w:val="00A81555"/>
    <w:rsid w:val="00A8171D"/>
    <w:rsid w:val="00A8241E"/>
    <w:rsid w:val="00A82693"/>
    <w:rsid w:val="00A82B74"/>
    <w:rsid w:val="00A83140"/>
    <w:rsid w:val="00A8348E"/>
    <w:rsid w:val="00A850C7"/>
    <w:rsid w:val="00A85D84"/>
    <w:rsid w:val="00A85FD8"/>
    <w:rsid w:val="00A870EE"/>
    <w:rsid w:val="00A8725C"/>
    <w:rsid w:val="00A8759C"/>
    <w:rsid w:val="00A90371"/>
    <w:rsid w:val="00A9226F"/>
    <w:rsid w:val="00A92B34"/>
    <w:rsid w:val="00A93F0A"/>
    <w:rsid w:val="00A94A8D"/>
    <w:rsid w:val="00A9543D"/>
    <w:rsid w:val="00A95E86"/>
    <w:rsid w:val="00A97267"/>
    <w:rsid w:val="00A972B9"/>
    <w:rsid w:val="00A97AF5"/>
    <w:rsid w:val="00AA0997"/>
    <w:rsid w:val="00AA09DF"/>
    <w:rsid w:val="00AA2FAF"/>
    <w:rsid w:val="00AA3C2A"/>
    <w:rsid w:val="00AA4110"/>
    <w:rsid w:val="00AA5539"/>
    <w:rsid w:val="00AB203B"/>
    <w:rsid w:val="00AB295D"/>
    <w:rsid w:val="00AB2C2B"/>
    <w:rsid w:val="00AB3CD6"/>
    <w:rsid w:val="00AB47FD"/>
    <w:rsid w:val="00AB517E"/>
    <w:rsid w:val="00AB6097"/>
    <w:rsid w:val="00AB6194"/>
    <w:rsid w:val="00AB6EAC"/>
    <w:rsid w:val="00AB70E3"/>
    <w:rsid w:val="00AB7DFD"/>
    <w:rsid w:val="00AC1655"/>
    <w:rsid w:val="00AC25E1"/>
    <w:rsid w:val="00AC271C"/>
    <w:rsid w:val="00AC4CAC"/>
    <w:rsid w:val="00AC4FE9"/>
    <w:rsid w:val="00AC502A"/>
    <w:rsid w:val="00AD0536"/>
    <w:rsid w:val="00AD12E2"/>
    <w:rsid w:val="00AD16D1"/>
    <w:rsid w:val="00AD1F1C"/>
    <w:rsid w:val="00AD1FF4"/>
    <w:rsid w:val="00AD2670"/>
    <w:rsid w:val="00AD2C07"/>
    <w:rsid w:val="00AD5B91"/>
    <w:rsid w:val="00AD7AD3"/>
    <w:rsid w:val="00AE091A"/>
    <w:rsid w:val="00AE0B4C"/>
    <w:rsid w:val="00AE1718"/>
    <w:rsid w:val="00AE2BBF"/>
    <w:rsid w:val="00AE5FD5"/>
    <w:rsid w:val="00AE7461"/>
    <w:rsid w:val="00AF0119"/>
    <w:rsid w:val="00AF0B33"/>
    <w:rsid w:val="00AF1E25"/>
    <w:rsid w:val="00AF30DC"/>
    <w:rsid w:val="00AF33A2"/>
    <w:rsid w:val="00AF3419"/>
    <w:rsid w:val="00AF3FFA"/>
    <w:rsid w:val="00AF49D9"/>
    <w:rsid w:val="00AF51EB"/>
    <w:rsid w:val="00AF7332"/>
    <w:rsid w:val="00B01FED"/>
    <w:rsid w:val="00B02132"/>
    <w:rsid w:val="00B039F9"/>
    <w:rsid w:val="00B03C62"/>
    <w:rsid w:val="00B04E8B"/>
    <w:rsid w:val="00B0542E"/>
    <w:rsid w:val="00B06F40"/>
    <w:rsid w:val="00B105D7"/>
    <w:rsid w:val="00B10B8F"/>
    <w:rsid w:val="00B11188"/>
    <w:rsid w:val="00B125B2"/>
    <w:rsid w:val="00B1302E"/>
    <w:rsid w:val="00B130AC"/>
    <w:rsid w:val="00B136AC"/>
    <w:rsid w:val="00B136B6"/>
    <w:rsid w:val="00B137C6"/>
    <w:rsid w:val="00B142A4"/>
    <w:rsid w:val="00B143F4"/>
    <w:rsid w:val="00B15CEF"/>
    <w:rsid w:val="00B17030"/>
    <w:rsid w:val="00B17E38"/>
    <w:rsid w:val="00B20381"/>
    <w:rsid w:val="00B20674"/>
    <w:rsid w:val="00B22E16"/>
    <w:rsid w:val="00B24159"/>
    <w:rsid w:val="00B2428B"/>
    <w:rsid w:val="00B2603E"/>
    <w:rsid w:val="00B26445"/>
    <w:rsid w:val="00B26C51"/>
    <w:rsid w:val="00B275BC"/>
    <w:rsid w:val="00B300DE"/>
    <w:rsid w:val="00B30886"/>
    <w:rsid w:val="00B311D9"/>
    <w:rsid w:val="00B31216"/>
    <w:rsid w:val="00B32F71"/>
    <w:rsid w:val="00B33B30"/>
    <w:rsid w:val="00B341EF"/>
    <w:rsid w:val="00B34D7B"/>
    <w:rsid w:val="00B3764A"/>
    <w:rsid w:val="00B40B83"/>
    <w:rsid w:val="00B40EDC"/>
    <w:rsid w:val="00B41772"/>
    <w:rsid w:val="00B41F34"/>
    <w:rsid w:val="00B430E2"/>
    <w:rsid w:val="00B45622"/>
    <w:rsid w:val="00B45E02"/>
    <w:rsid w:val="00B463F1"/>
    <w:rsid w:val="00B46BD6"/>
    <w:rsid w:val="00B46F0A"/>
    <w:rsid w:val="00B47DE1"/>
    <w:rsid w:val="00B50EB1"/>
    <w:rsid w:val="00B51729"/>
    <w:rsid w:val="00B51865"/>
    <w:rsid w:val="00B51C31"/>
    <w:rsid w:val="00B51C95"/>
    <w:rsid w:val="00B52605"/>
    <w:rsid w:val="00B52A58"/>
    <w:rsid w:val="00B52F69"/>
    <w:rsid w:val="00B552F1"/>
    <w:rsid w:val="00B56091"/>
    <w:rsid w:val="00B56CE1"/>
    <w:rsid w:val="00B5706D"/>
    <w:rsid w:val="00B57742"/>
    <w:rsid w:val="00B60FB6"/>
    <w:rsid w:val="00B614DD"/>
    <w:rsid w:val="00B61BFE"/>
    <w:rsid w:val="00B62484"/>
    <w:rsid w:val="00B634AC"/>
    <w:rsid w:val="00B63632"/>
    <w:rsid w:val="00B63797"/>
    <w:rsid w:val="00B638C4"/>
    <w:rsid w:val="00B64071"/>
    <w:rsid w:val="00B65ED9"/>
    <w:rsid w:val="00B66415"/>
    <w:rsid w:val="00B66714"/>
    <w:rsid w:val="00B70CF0"/>
    <w:rsid w:val="00B71E56"/>
    <w:rsid w:val="00B73200"/>
    <w:rsid w:val="00B73AF1"/>
    <w:rsid w:val="00B758EB"/>
    <w:rsid w:val="00B8024D"/>
    <w:rsid w:val="00B8185A"/>
    <w:rsid w:val="00B820A5"/>
    <w:rsid w:val="00B82D91"/>
    <w:rsid w:val="00B84609"/>
    <w:rsid w:val="00B84A4F"/>
    <w:rsid w:val="00B8670F"/>
    <w:rsid w:val="00B8723E"/>
    <w:rsid w:val="00B876A1"/>
    <w:rsid w:val="00B91998"/>
    <w:rsid w:val="00B91B40"/>
    <w:rsid w:val="00B92107"/>
    <w:rsid w:val="00B92611"/>
    <w:rsid w:val="00B9289B"/>
    <w:rsid w:val="00B9312D"/>
    <w:rsid w:val="00B933F6"/>
    <w:rsid w:val="00B97091"/>
    <w:rsid w:val="00B97FBD"/>
    <w:rsid w:val="00BA035F"/>
    <w:rsid w:val="00BA065A"/>
    <w:rsid w:val="00BA1CED"/>
    <w:rsid w:val="00BA1EAC"/>
    <w:rsid w:val="00BA27D3"/>
    <w:rsid w:val="00BA2926"/>
    <w:rsid w:val="00BA4C7D"/>
    <w:rsid w:val="00BA69D8"/>
    <w:rsid w:val="00BA6F7E"/>
    <w:rsid w:val="00BA6FDC"/>
    <w:rsid w:val="00BB021D"/>
    <w:rsid w:val="00BB0F34"/>
    <w:rsid w:val="00BB0FBF"/>
    <w:rsid w:val="00BB17B8"/>
    <w:rsid w:val="00BB2B3B"/>
    <w:rsid w:val="00BB3884"/>
    <w:rsid w:val="00BB3A27"/>
    <w:rsid w:val="00BB3D24"/>
    <w:rsid w:val="00BC007D"/>
    <w:rsid w:val="00BC0F5D"/>
    <w:rsid w:val="00BC1497"/>
    <w:rsid w:val="00BC1E1D"/>
    <w:rsid w:val="00BC20D8"/>
    <w:rsid w:val="00BC314F"/>
    <w:rsid w:val="00BC3F5E"/>
    <w:rsid w:val="00BC7B5B"/>
    <w:rsid w:val="00BC7BAB"/>
    <w:rsid w:val="00BD0758"/>
    <w:rsid w:val="00BD0896"/>
    <w:rsid w:val="00BD1E63"/>
    <w:rsid w:val="00BD5DDB"/>
    <w:rsid w:val="00BE1644"/>
    <w:rsid w:val="00BE1CF4"/>
    <w:rsid w:val="00BE22B3"/>
    <w:rsid w:val="00BE5C27"/>
    <w:rsid w:val="00BE5F3D"/>
    <w:rsid w:val="00BE6E14"/>
    <w:rsid w:val="00BF0FF1"/>
    <w:rsid w:val="00BF197B"/>
    <w:rsid w:val="00BF255B"/>
    <w:rsid w:val="00BF2E5B"/>
    <w:rsid w:val="00BF4293"/>
    <w:rsid w:val="00BF44C3"/>
    <w:rsid w:val="00BF6EBD"/>
    <w:rsid w:val="00C00057"/>
    <w:rsid w:val="00C005FC"/>
    <w:rsid w:val="00C00CF3"/>
    <w:rsid w:val="00C00F90"/>
    <w:rsid w:val="00C02031"/>
    <w:rsid w:val="00C03026"/>
    <w:rsid w:val="00C04654"/>
    <w:rsid w:val="00C05770"/>
    <w:rsid w:val="00C05AFC"/>
    <w:rsid w:val="00C05E5B"/>
    <w:rsid w:val="00C074CE"/>
    <w:rsid w:val="00C07558"/>
    <w:rsid w:val="00C10C9F"/>
    <w:rsid w:val="00C11025"/>
    <w:rsid w:val="00C127AE"/>
    <w:rsid w:val="00C128CC"/>
    <w:rsid w:val="00C13B0B"/>
    <w:rsid w:val="00C1484D"/>
    <w:rsid w:val="00C154A8"/>
    <w:rsid w:val="00C20CA9"/>
    <w:rsid w:val="00C21AA5"/>
    <w:rsid w:val="00C222B2"/>
    <w:rsid w:val="00C23401"/>
    <w:rsid w:val="00C27603"/>
    <w:rsid w:val="00C277C5"/>
    <w:rsid w:val="00C302B5"/>
    <w:rsid w:val="00C31981"/>
    <w:rsid w:val="00C31990"/>
    <w:rsid w:val="00C31A29"/>
    <w:rsid w:val="00C3283D"/>
    <w:rsid w:val="00C32D13"/>
    <w:rsid w:val="00C32D3A"/>
    <w:rsid w:val="00C32FFC"/>
    <w:rsid w:val="00C330DB"/>
    <w:rsid w:val="00C34247"/>
    <w:rsid w:val="00C349B5"/>
    <w:rsid w:val="00C35B1E"/>
    <w:rsid w:val="00C3665B"/>
    <w:rsid w:val="00C36CFD"/>
    <w:rsid w:val="00C406A0"/>
    <w:rsid w:val="00C40950"/>
    <w:rsid w:val="00C41190"/>
    <w:rsid w:val="00C42181"/>
    <w:rsid w:val="00C425E2"/>
    <w:rsid w:val="00C4522D"/>
    <w:rsid w:val="00C4653B"/>
    <w:rsid w:val="00C46712"/>
    <w:rsid w:val="00C47279"/>
    <w:rsid w:val="00C47E74"/>
    <w:rsid w:val="00C47FBA"/>
    <w:rsid w:val="00C50A22"/>
    <w:rsid w:val="00C52679"/>
    <w:rsid w:val="00C53ADA"/>
    <w:rsid w:val="00C551A7"/>
    <w:rsid w:val="00C55714"/>
    <w:rsid w:val="00C5610A"/>
    <w:rsid w:val="00C574E8"/>
    <w:rsid w:val="00C60441"/>
    <w:rsid w:val="00C6098E"/>
    <w:rsid w:val="00C62E95"/>
    <w:rsid w:val="00C6356D"/>
    <w:rsid w:val="00C63EA0"/>
    <w:rsid w:val="00C64684"/>
    <w:rsid w:val="00C649A1"/>
    <w:rsid w:val="00C64BEF"/>
    <w:rsid w:val="00C64C91"/>
    <w:rsid w:val="00C651F3"/>
    <w:rsid w:val="00C6594D"/>
    <w:rsid w:val="00C65D34"/>
    <w:rsid w:val="00C66930"/>
    <w:rsid w:val="00C714BB"/>
    <w:rsid w:val="00C71B7F"/>
    <w:rsid w:val="00C73A1E"/>
    <w:rsid w:val="00C740CE"/>
    <w:rsid w:val="00C74966"/>
    <w:rsid w:val="00C750A4"/>
    <w:rsid w:val="00C75163"/>
    <w:rsid w:val="00C75DF3"/>
    <w:rsid w:val="00C763A8"/>
    <w:rsid w:val="00C7696B"/>
    <w:rsid w:val="00C76B93"/>
    <w:rsid w:val="00C76D8A"/>
    <w:rsid w:val="00C775AC"/>
    <w:rsid w:val="00C7770F"/>
    <w:rsid w:val="00C80E27"/>
    <w:rsid w:val="00C83307"/>
    <w:rsid w:val="00C83D03"/>
    <w:rsid w:val="00C84DCE"/>
    <w:rsid w:val="00C8586E"/>
    <w:rsid w:val="00C85B94"/>
    <w:rsid w:val="00C875FF"/>
    <w:rsid w:val="00C90B12"/>
    <w:rsid w:val="00C91601"/>
    <w:rsid w:val="00C91780"/>
    <w:rsid w:val="00C91E32"/>
    <w:rsid w:val="00C931C9"/>
    <w:rsid w:val="00C9430D"/>
    <w:rsid w:val="00C943A8"/>
    <w:rsid w:val="00C97301"/>
    <w:rsid w:val="00CA05B5"/>
    <w:rsid w:val="00CA063B"/>
    <w:rsid w:val="00CA076B"/>
    <w:rsid w:val="00CA0F37"/>
    <w:rsid w:val="00CA1764"/>
    <w:rsid w:val="00CA2EA7"/>
    <w:rsid w:val="00CA35D5"/>
    <w:rsid w:val="00CA41F6"/>
    <w:rsid w:val="00CA5753"/>
    <w:rsid w:val="00CA6A02"/>
    <w:rsid w:val="00CB0F79"/>
    <w:rsid w:val="00CB1AF7"/>
    <w:rsid w:val="00CB27C8"/>
    <w:rsid w:val="00CB2E65"/>
    <w:rsid w:val="00CB3469"/>
    <w:rsid w:val="00CB3814"/>
    <w:rsid w:val="00CB443F"/>
    <w:rsid w:val="00CB49F9"/>
    <w:rsid w:val="00CB50B2"/>
    <w:rsid w:val="00CB65E0"/>
    <w:rsid w:val="00CB73E5"/>
    <w:rsid w:val="00CB797D"/>
    <w:rsid w:val="00CB7D33"/>
    <w:rsid w:val="00CC0A0C"/>
    <w:rsid w:val="00CC0E4D"/>
    <w:rsid w:val="00CC112D"/>
    <w:rsid w:val="00CC26AA"/>
    <w:rsid w:val="00CC3C4A"/>
    <w:rsid w:val="00CC5593"/>
    <w:rsid w:val="00CC5603"/>
    <w:rsid w:val="00CC7FEC"/>
    <w:rsid w:val="00CD086F"/>
    <w:rsid w:val="00CD1187"/>
    <w:rsid w:val="00CD1196"/>
    <w:rsid w:val="00CD2ED2"/>
    <w:rsid w:val="00CD2F75"/>
    <w:rsid w:val="00CD3C48"/>
    <w:rsid w:val="00CD4AE8"/>
    <w:rsid w:val="00CD604A"/>
    <w:rsid w:val="00CD62D3"/>
    <w:rsid w:val="00CD79C9"/>
    <w:rsid w:val="00CE13C8"/>
    <w:rsid w:val="00CE3192"/>
    <w:rsid w:val="00CE4619"/>
    <w:rsid w:val="00CE468F"/>
    <w:rsid w:val="00CE5E46"/>
    <w:rsid w:val="00CE619D"/>
    <w:rsid w:val="00CE7F3B"/>
    <w:rsid w:val="00CF1374"/>
    <w:rsid w:val="00CF2284"/>
    <w:rsid w:val="00CF237A"/>
    <w:rsid w:val="00CF251F"/>
    <w:rsid w:val="00CF5386"/>
    <w:rsid w:val="00CF5973"/>
    <w:rsid w:val="00CF65B7"/>
    <w:rsid w:val="00D00179"/>
    <w:rsid w:val="00D00555"/>
    <w:rsid w:val="00D007DC"/>
    <w:rsid w:val="00D01F5A"/>
    <w:rsid w:val="00D01F71"/>
    <w:rsid w:val="00D0566C"/>
    <w:rsid w:val="00D059CC"/>
    <w:rsid w:val="00D05E34"/>
    <w:rsid w:val="00D06481"/>
    <w:rsid w:val="00D07072"/>
    <w:rsid w:val="00D073CF"/>
    <w:rsid w:val="00D074C0"/>
    <w:rsid w:val="00D074DA"/>
    <w:rsid w:val="00D07BD2"/>
    <w:rsid w:val="00D10A18"/>
    <w:rsid w:val="00D10CF1"/>
    <w:rsid w:val="00D10DE9"/>
    <w:rsid w:val="00D10F3E"/>
    <w:rsid w:val="00D10F8E"/>
    <w:rsid w:val="00D111F0"/>
    <w:rsid w:val="00D156CA"/>
    <w:rsid w:val="00D16086"/>
    <w:rsid w:val="00D166F8"/>
    <w:rsid w:val="00D167ED"/>
    <w:rsid w:val="00D21D8B"/>
    <w:rsid w:val="00D2237E"/>
    <w:rsid w:val="00D229B9"/>
    <w:rsid w:val="00D22B58"/>
    <w:rsid w:val="00D237C9"/>
    <w:rsid w:val="00D24182"/>
    <w:rsid w:val="00D246CC"/>
    <w:rsid w:val="00D2480A"/>
    <w:rsid w:val="00D24838"/>
    <w:rsid w:val="00D24E10"/>
    <w:rsid w:val="00D2585E"/>
    <w:rsid w:val="00D26668"/>
    <w:rsid w:val="00D26D83"/>
    <w:rsid w:val="00D27B45"/>
    <w:rsid w:val="00D3299F"/>
    <w:rsid w:val="00D35043"/>
    <w:rsid w:val="00D35C16"/>
    <w:rsid w:val="00D3729C"/>
    <w:rsid w:val="00D37EA8"/>
    <w:rsid w:val="00D37FA5"/>
    <w:rsid w:val="00D40A54"/>
    <w:rsid w:val="00D42B4D"/>
    <w:rsid w:val="00D43091"/>
    <w:rsid w:val="00D44133"/>
    <w:rsid w:val="00D44E69"/>
    <w:rsid w:val="00D454C1"/>
    <w:rsid w:val="00D45AFF"/>
    <w:rsid w:val="00D46D78"/>
    <w:rsid w:val="00D47210"/>
    <w:rsid w:val="00D47E7F"/>
    <w:rsid w:val="00D5036B"/>
    <w:rsid w:val="00D505C0"/>
    <w:rsid w:val="00D50A43"/>
    <w:rsid w:val="00D517DA"/>
    <w:rsid w:val="00D51D01"/>
    <w:rsid w:val="00D51D73"/>
    <w:rsid w:val="00D52A10"/>
    <w:rsid w:val="00D54843"/>
    <w:rsid w:val="00D55273"/>
    <w:rsid w:val="00D5691B"/>
    <w:rsid w:val="00D569FB"/>
    <w:rsid w:val="00D61479"/>
    <w:rsid w:val="00D618CA"/>
    <w:rsid w:val="00D627AE"/>
    <w:rsid w:val="00D63375"/>
    <w:rsid w:val="00D63446"/>
    <w:rsid w:val="00D642A5"/>
    <w:rsid w:val="00D64777"/>
    <w:rsid w:val="00D647EE"/>
    <w:rsid w:val="00D65BA3"/>
    <w:rsid w:val="00D65DA6"/>
    <w:rsid w:val="00D66027"/>
    <w:rsid w:val="00D67C1D"/>
    <w:rsid w:val="00D704FE"/>
    <w:rsid w:val="00D717EA"/>
    <w:rsid w:val="00D72EDC"/>
    <w:rsid w:val="00D7309F"/>
    <w:rsid w:val="00D73DF0"/>
    <w:rsid w:val="00D757A3"/>
    <w:rsid w:val="00D76349"/>
    <w:rsid w:val="00D77B31"/>
    <w:rsid w:val="00D800D0"/>
    <w:rsid w:val="00D8215B"/>
    <w:rsid w:val="00D82836"/>
    <w:rsid w:val="00D836ED"/>
    <w:rsid w:val="00D8486C"/>
    <w:rsid w:val="00D86BE3"/>
    <w:rsid w:val="00D875D4"/>
    <w:rsid w:val="00D878DE"/>
    <w:rsid w:val="00D87A80"/>
    <w:rsid w:val="00D92995"/>
    <w:rsid w:val="00D932C1"/>
    <w:rsid w:val="00D93567"/>
    <w:rsid w:val="00D937CD"/>
    <w:rsid w:val="00D94A53"/>
    <w:rsid w:val="00D95062"/>
    <w:rsid w:val="00D95491"/>
    <w:rsid w:val="00D9602C"/>
    <w:rsid w:val="00D96EBA"/>
    <w:rsid w:val="00DA0745"/>
    <w:rsid w:val="00DA08DB"/>
    <w:rsid w:val="00DA136F"/>
    <w:rsid w:val="00DA4D70"/>
    <w:rsid w:val="00DA4DDF"/>
    <w:rsid w:val="00DA5755"/>
    <w:rsid w:val="00DA6896"/>
    <w:rsid w:val="00DA7105"/>
    <w:rsid w:val="00DA7695"/>
    <w:rsid w:val="00DB0EA2"/>
    <w:rsid w:val="00DB15F4"/>
    <w:rsid w:val="00DB2004"/>
    <w:rsid w:val="00DB3D14"/>
    <w:rsid w:val="00DB3DD3"/>
    <w:rsid w:val="00DB54B1"/>
    <w:rsid w:val="00DB67FD"/>
    <w:rsid w:val="00DB6A5D"/>
    <w:rsid w:val="00DB70D2"/>
    <w:rsid w:val="00DC0BB5"/>
    <w:rsid w:val="00DC120F"/>
    <w:rsid w:val="00DC3060"/>
    <w:rsid w:val="00DC34C1"/>
    <w:rsid w:val="00DC3FDC"/>
    <w:rsid w:val="00DC4469"/>
    <w:rsid w:val="00DC5A78"/>
    <w:rsid w:val="00DC611B"/>
    <w:rsid w:val="00DC627A"/>
    <w:rsid w:val="00DC7587"/>
    <w:rsid w:val="00DC7830"/>
    <w:rsid w:val="00DCD399"/>
    <w:rsid w:val="00DD326C"/>
    <w:rsid w:val="00DD44E3"/>
    <w:rsid w:val="00DD6A36"/>
    <w:rsid w:val="00DD6BBA"/>
    <w:rsid w:val="00DD723F"/>
    <w:rsid w:val="00DD7769"/>
    <w:rsid w:val="00DD789F"/>
    <w:rsid w:val="00DE088B"/>
    <w:rsid w:val="00DE10E2"/>
    <w:rsid w:val="00DE5E2E"/>
    <w:rsid w:val="00DF0C55"/>
    <w:rsid w:val="00DF1E4F"/>
    <w:rsid w:val="00DF23CD"/>
    <w:rsid w:val="00DF3565"/>
    <w:rsid w:val="00DF36F4"/>
    <w:rsid w:val="00DF3937"/>
    <w:rsid w:val="00DF70A7"/>
    <w:rsid w:val="00DF70F6"/>
    <w:rsid w:val="00DF777F"/>
    <w:rsid w:val="00DF798A"/>
    <w:rsid w:val="00E02431"/>
    <w:rsid w:val="00E02460"/>
    <w:rsid w:val="00E07B21"/>
    <w:rsid w:val="00E12586"/>
    <w:rsid w:val="00E138C6"/>
    <w:rsid w:val="00E13D5E"/>
    <w:rsid w:val="00E15168"/>
    <w:rsid w:val="00E16E60"/>
    <w:rsid w:val="00E1745E"/>
    <w:rsid w:val="00E20AD3"/>
    <w:rsid w:val="00E20B4E"/>
    <w:rsid w:val="00E20E14"/>
    <w:rsid w:val="00E22055"/>
    <w:rsid w:val="00E220C9"/>
    <w:rsid w:val="00E2313B"/>
    <w:rsid w:val="00E232EA"/>
    <w:rsid w:val="00E23F63"/>
    <w:rsid w:val="00E240DC"/>
    <w:rsid w:val="00E25B6E"/>
    <w:rsid w:val="00E260DE"/>
    <w:rsid w:val="00E26A9A"/>
    <w:rsid w:val="00E26CD5"/>
    <w:rsid w:val="00E31246"/>
    <w:rsid w:val="00E317BB"/>
    <w:rsid w:val="00E324E2"/>
    <w:rsid w:val="00E333BB"/>
    <w:rsid w:val="00E33EC7"/>
    <w:rsid w:val="00E353BD"/>
    <w:rsid w:val="00E3561C"/>
    <w:rsid w:val="00E36860"/>
    <w:rsid w:val="00E37083"/>
    <w:rsid w:val="00E375B6"/>
    <w:rsid w:val="00E376AA"/>
    <w:rsid w:val="00E376F6"/>
    <w:rsid w:val="00E40489"/>
    <w:rsid w:val="00E40DAC"/>
    <w:rsid w:val="00E40EED"/>
    <w:rsid w:val="00E41A7A"/>
    <w:rsid w:val="00E42185"/>
    <w:rsid w:val="00E4332A"/>
    <w:rsid w:val="00E43661"/>
    <w:rsid w:val="00E446BD"/>
    <w:rsid w:val="00E452AC"/>
    <w:rsid w:val="00E4640F"/>
    <w:rsid w:val="00E50A95"/>
    <w:rsid w:val="00E50E39"/>
    <w:rsid w:val="00E51571"/>
    <w:rsid w:val="00E52014"/>
    <w:rsid w:val="00E534B3"/>
    <w:rsid w:val="00E53DAD"/>
    <w:rsid w:val="00E53E10"/>
    <w:rsid w:val="00E53EAC"/>
    <w:rsid w:val="00E54421"/>
    <w:rsid w:val="00E54597"/>
    <w:rsid w:val="00E551F2"/>
    <w:rsid w:val="00E55F95"/>
    <w:rsid w:val="00E5715D"/>
    <w:rsid w:val="00E57D90"/>
    <w:rsid w:val="00E6173C"/>
    <w:rsid w:val="00E62249"/>
    <w:rsid w:val="00E63ECE"/>
    <w:rsid w:val="00E652B2"/>
    <w:rsid w:val="00E65F8D"/>
    <w:rsid w:val="00E668D1"/>
    <w:rsid w:val="00E67568"/>
    <w:rsid w:val="00E67E36"/>
    <w:rsid w:val="00E71AFA"/>
    <w:rsid w:val="00E72164"/>
    <w:rsid w:val="00E724DE"/>
    <w:rsid w:val="00E72609"/>
    <w:rsid w:val="00E732C1"/>
    <w:rsid w:val="00E7573D"/>
    <w:rsid w:val="00E76695"/>
    <w:rsid w:val="00E77CEA"/>
    <w:rsid w:val="00E80B3C"/>
    <w:rsid w:val="00E8142F"/>
    <w:rsid w:val="00E81BE7"/>
    <w:rsid w:val="00E81FF0"/>
    <w:rsid w:val="00E83E81"/>
    <w:rsid w:val="00E84AB1"/>
    <w:rsid w:val="00E84FB7"/>
    <w:rsid w:val="00E85837"/>
    <w:rsid w:val="00E85CB2"/>
    <w:rsid w:val="00E86055"/>
    <w:rsid w:val="00E86A46"/>
    <w:rsid w:val="00E90C65"/>
    <w:rsid w:val="00E91174"/>
    <w:rsid w:val="00E918DB"/>
    <w:rsid w:val="00E91A84"/>
    <w:rsid w:val="00E924D8"/>
    <w:rsid w:val="00E92BE9"/>
    <w:rsid w:val="00E939FB"/>
    <w:rsid w:val="00E95F40"/>
    <w:rsid w:val="00E964E8"/>
    <w:rsid w:val="00E96766"/>
    <w:rsid w:val="00E9743D"/>
    <w:rsid w:val="00EA01A0"/>
    <w:rsid w:val="00EA0727"/>
    <w:rsid w:val="00EA2AE5"/>
    <w:rsid w:val="00EA343E"/>
    <w:rsid w:val="00EA36A8"/>
    <w:rsid w:val="00EA523B"/>
    <w:rsid w:val="00EA5370"/>
    <w:rsid w:val="00EA5F42"/>
    <w:rsid w:val="00EA69E0"/>
    <w:rsid w:val="00EA6C16"/>
    <w:rsid w:val="00EA6CB6"/>
    <w:rsid w:val="00EA6EA7"/>
    <w:rsid w:val="00EA7811"/>
    <w:rsid w:val="00EB29E1"/>
    <w:rsid w:val="00EB31DD"/>
    <w:rsid w:val="00EB56D7"/>
    <w:rsid w:val="00EC0C97"/>
    <w:rsid w:val="00EC1390"/>
    <w:rsid w:val="00EC19E4"/>
    <w:rsid w:val="00EC1E05"/>
    <w:rsid w:val="00EC23EB"/>
    <w:rsid w:val="00EC38F0"/>
    <w:rsid w:val="00EC4349"/>
    <w:rsid w:val="00EC4643"/>
    <w:rsid w:val="00EC6B61"/>
    <w:rsid w:val="00EC6FE6"/>
    <w:rsid w:val="00EC7569"/>
    <w:rsid w:val="00ED0CAD"/>
    <w:rsid w:val="00ED1438"/>
    <w:rsid w:val="00ED28B2"/>
    <w:rsid w:val="00ED3766"/>
    <w:rsid w:val="00ED3F68"/>
    <w:rsid w:val="00ED4227"/>
    <w:rsid w:val="00ED45C4"/>
    <w:rsid w:val="00ED4B5C"/>
    <w:rsid w:val="00ED5353"/>
    <w:rsid w:val="00ED53C3"/>
    <w:rsid w:val="00ED5D07"/>
    <w:rsid w:val="00ED64A5"/>
    <w:rsid w:val="00EE1236"/>
    <w:rsid w:val="00EE20D9"/>
    <w:rsid w:val="00EE30B8"/>
    <w:rsid w:val="00EE3D3A"/>
    <w:rsid w:val="00EE53BB"/>
    <w:rsid w:val="00EF16DF"/>
    <w:rsid w:val="00EF1A05"/>
    <w:rsid w:val="00EF4784"/>
    <w:rsid w:val="00EF63DC"/>
    <w:rsid w:val="00EF68E0"/>
    <w:rsid w:val="00EF7171"/>
    <w:rsid w:val="00EF7E18"/>
    <w:rsid w:val="00F001C5"/>
    <w:rsid w:val="00F0037F"/>
    <w:rsid w:val="00F00FC9"/>
    <w:rsid w:val="00F017D9"/>
    <w:rsid w:val="00F02277"/>
    <w:rsid w:val="00F02820"/>
    <w:rsid w:val="00F04E4F"/>
    <w:rsid w:val="00F053BF"/>
    <w:rsid w:val="00F068C3"/>
    <w:rsid w:val="00F07794"/>
    <w:rsid w:val="00F10630"/>
    <w:rsid w:val="00F11BAB"/>
    <w:rsid w:val="00F126B6"/>
    <w:rsid w:val="00F131D9"/>
    <w:rsid w:val="00F13578"/>
    <w:rsid w:val="00F144FB"/>
    <w:rsid w:val="00F145B8"/>
    <w:rsid w:val="00F14961"/>
    <w:rsid w:val="00F17578"/>
    <w:rsid w:val="00F17CE0"/>
    <w:rsid w:val="00F20223"/>
    <w:rsid w:val="00F206E4"/>
    <w:rsid w:val="00F225BD"/>
    <w:rsid w:val="00F233D5"/>
    <w:rsid w:val="00F241DC"/>
    <w:rsid w:val="00F256C6"/>
    <w:rsid w:val="00F27158"/>
    <w:rsid w:val="00F27277"/>
    <w:rsid w:val="00F27CBA"/>
    <w:rsid w:val="00F27E2F"/>
    <w:rsid w:val="00F3024C"/>
    <w:rsid w:val="00F30FB6"/>
    <w:rsid w:val="00F32100"/>
    <w:rsid w:val="00F32464"/>
    <w:rsid w:val="00F33F0E"/>
    <w:rsid w:val="00F34EC0"/>
    <w:rsid w:val="00F364E1"/>
    <w:rsid w:val="00F37902"/>
    <w:rsid w:val="00F37F75"/>
    <w:rsid w:val="00F40096"/>
    <w:rsid w:val="00F40B85"/>
    <w:rsid w:val="00F42030"/>
    <w:rsid w:val="00F42B31"/>
    <w:rsid w:val="00F42D52"/>
    <w:rsid w:val="00F44114"/>
    <w:rsid w:val="00F44243"/>
    <w:rsid w:val="00F447DD"/>
    <w:rsid w:val="00F44B06"/>
    <w:rsid w:val="00F46E5F"/>
    <w:rsid w:val="00F50183"/>
    <w:rsid w:val="00F50607"/>
    <w:rsid w:val="00F508E1"/>
    <w:rsid w:val="00F50A32"/>
    <w:rsid w:val="00F5225C"/>
    <w:rsid w:val="00F535DF"/>
    <w:rsid w:val="00F537CD"/>
    <w:rsid w:val="00F53C32"/>
    <w:rsid w:val="00F54231"/>
    <w:rsid w:val="00F5433C"/>
    <w:rsid w:val="00F545F2"/>
    <w:rsid w:val="00F5466E"/>
    <w:rsid w:val="00F56C7E"/>
    <w:rsid w:val="00F56F4F"/>
    <w:rsid w:val="00F56FA4"/>
    <w:rsid w:val="00F5716A"/>
    <w:rsid w:val="00F5723F"/>
    <w:rsid w:val="00F5764E"/>
    <w:rsid w:val="00F57783"/>
    <w:rsid w:val="00F57CE9"/>
    <w:rsid w:val="00F620D9"/>
    <w:rsid w:val="00F64C69"/>
    <w:rsid w:val="00F66E5C"/>
    <w:rsid w:val="00F6783D"/>
    <w:rsid w:val="00F702A5"/>
    <w:rsid w:val="00F70979"/>
    <w:rsid w:val="00F70AAA"/>
    <w:rsid w:val="00F715BF"/>
    <w:rsid w:val="00F71C19"/>
    <w:rsid w:val="00F7249C"/>
    <w:rsid w:val="00F74E3E"/>
    <w:rsid w:val="00F756A0"/>
    <w:rsid w:val="00F7617E"/>
    <w:rsid w:val="00F766B1"/>
    <w:rsid w:val="00F77495"/>
    <w:rsid w:val="00F80AED"/>
    <w:rsid w:val="00F81582"/>
    <w:rsid w:val="00F81AA5"/>
    <w:rsid w:val="00F83373"/>
    <w:rsid w:val="00F8358E"/>
    <w:rsid w:val="00F857BD"/>
    <w:rsid w:val="00F85EF6"/>
    <w:rsid w:val="00F87A67"/>
    <w:rsid w:val="00F91CA4"/>
    <w:rsid w:val="00F92F1E"/>
    <w:rsid w:val="00F93E9C"/>
    <w:rsid w:val="00F94B28"/>
    <w:rsid w:val="00F95089"/>
    <w:rsid w:val="00F953E0"/>
    <w:rsid w:val="00F954DD"/>
    <w:rsid w:val="00F95B8E"/>
    <w:rsid w:val="00F95C01"/>
    <w:rsid w:val="00FA0345"/>
    <w:rsid w:val="00FA299A"/>
    <w:rsid w:val="00FA315D"/>
    <w:rsid w:val="00FA54D1"/>
    <w:rsid w:val="00FA61B7"/>
    <w:rsid w:val="00FA7B41"/>
    <w:rsid w:val="00FB0834"/>
    <w:rsid w:val="00FB089A"/>
    <w:rsid w:val="00FB1DB1"/>
    <w:rsid w:val="00FB30E9"/>
    <w:rsid w:val="00FB35B3"/>
    <w:rsid w:val="00FB5330"/>
    <w:rsid w:val="00FC0838"/>
    <w:rsid w:val="00FC14B0"/>
    <w:rsid w:val="00FC14CC"/>
    <w:rsid w:val="00FC2684"/>
    <w:rsid w:val="00FC587B"/>
    <w:rsid w:val="00FC7DCF"/>
    <w:rsid w:val="00FD21D0"/>
    <w:rsid w:val="00FD2461"/>
    <w:rsid w:val="00FD2F2A"/>
    <w:rsid w:val="00FD3D34"/>
    <w:rsid w:val="00FD4962"/>
    <w:rsid w:val="00FD4E5A"/>
    <w:rsid w:val="00FD5201"/>
    <w:rsid w:val="00FD7A84"/>
    <w:rsid w:val="00FE0623"/>
    <w:rsid w:val="00FE0B2A"/>
    <w:rsid w:val="00FE3506"/>
    <w:rsid w:val="00FE55B8"/>
    <w:rsid w:val="00FE63C7"/>
    <w:rsid w:val="00FE6671"/>
    <w:rsid w:val="00FE66A0"/>
    <w:rsid w:val="00FE7F83"/>
    <w:rsid w:val="00FF0343"/>
    <w:rsid w:val="00FF0F2F"/>
    <w:rsid w:val="00FF1482"/>
    <w:rsid w:val="00FF1B38"/>
    <w:rsid w:val="00FF2251"/>
    <w:rsid w:val="00FF3202"/>
    <w:rsid w:val="00FF350F"/>
    <w:rsid w:val="00FF52D8"/>
    <w:rsid w:val="00FF586C"/>
    <w:rsid w:val="00FF5C51"/>
    <w:rsid w:val="00FF74C6"/>
    <w:rsid w:val="00FF7F9A"/>
    <w:rsid w:val="01746181"/>
    <w:rsid w:val="018441B1"/>
    <w:rsid w:val="01981E4D"/>
    <w:rsid w:val="01C7C6E5"/>
    <w:rsid w:val="01E5092B"/>
    <w:rsid w:val="01F709B5"/>
    <w:rsid w:val="0262E1DA"/>
    <w:rsid w:val="0297032D"/>
    <w:rsid w:val="0297D209"/>
    <w:rsid w:val="02DD6678"/>
    <w:rsid w:val="02FDAE79"/>
    <w:rsid w:val="0318B26E"/>
    <w:rsid w:val="0320D93F"/>
    <w:rsid w:val="033EF108"/>
    <w:rsid w:val="0346C57F"/>
    <w:rsid w:val="03C1E7F8"/>
    <w:rsid w:val="042DBC1F"/>
    <w:rsid w:val="044B37E9"/>
    <w:rsid w:val="048E1EF7"/>
    <w:rsid w:val="04997EDA"/>
    <w:rsid w:val="05191777"/>
    <w:rsid w:val="052CADB5"/>
    <w:rsid w:val="053B47E8"/>
    <w:rsid w:val="055E7B4B"/>
    <w:rsid w:val="05F58E69"/>
    <w:rsid w:val="062882DA"/>
    <w:rsid w:val="063AD80C"/>
    <w:rsid w:val="06872139"/>
    <w:rsid w:val="068F0AB9"/>
    <w:rsid w:val="06926193"/>
    <w:rsid w:val="06C82299"/>
    <w:rsid w:val="0704F111"/>
    <w:rsid w:val="07605CC8"/>
    <w:rsid w:val="07797388"/>
    <w:rsid w:val="07D2FB34"/>
    <w:rsid w:val="08084AE3"/>
    <w:rsid w:val="08273760"/>
    <w:rsid w:val="089D548E"/>
    <w:rsid w:val="08D5B032"/>
    <w:rsid w:val="091E3F63"/>
    <w:rsid w:val="093994E8"/>
    <w:rsid w:val="096ECB95"/>
    <w:rsid w:val="097F2DF4"/>
    <w:rsid w:val="09AE3102"/>
    <w:rsid w:val="0A0E7690"/>
    <w:rsid w:val="0A2959A5"/>
    <w:rsid w:val="0A487186"/>
    <w:rsid w:val="0A549C55"/>
    <w:rsid w:val="0A5FDB14"/>
    <w:rsid w:val="0A6A3857"/>
    <w:rsid w:val="0A7675C7"/>
    <w:rsid w:val="0A7C5E08"/>
    <w:rsid w:val="0AC27442"/>
    <w:rsid w:val="0AEAD320"/>
    <w:rsid w:val="0C0422F0"/>
    <w:rsid w:val="0C182E69"/>
    <w:rsid w:val="0C46E05F"/>
    <w:rsid w:val="0C827030"/>
    <w:rsid w:val="0CA2870B"/>
    <w:rsid w:val="0CBFA524"/>
    <w:rsid w:val="0CF1AFDF"/>
    <w:rsid w:val="0D1B2E8C"/>
    <w:rsid w:val="0D274FC1"/>
    <w:rsid w:val="0D2A4EF8"/>
    <w:rsid w:val="0D4C971E"/>
    <w:rsid w:val="0D7D53E5"/>
    <w:rsid w:val="0D9CFBBE"/>
    <w:rsid w:val="0DC2C17E"/>
    <w:rsid w:val="0E266DA8"/>
    <w:rsid w:val="0E5BC6AD"/>
    <w:rsid w:val="0E6083CE"/>
    <w:rsid w:val="0EB846D1"/>
    <w:rsid w:val="0EC4321B"/>
    <w:rsid w:val="0EEBCA8F"/>
    <w:rsid w:val="0F196F9E"/>
    <w:rsid w:val="0F263B66"/>
    <w:rsid w:val="0F3EB1BC"/>
    <w:rsid w:val="0F4BBCE1"/>
    <w:rsid w:val="0FA13223"/>
    <w:rsid w:val="106D9B59"/>
    <w:rsid w:val="10AB8112"/>
    <w:rsid w:val="1118F6E4"/>
    <w:rsid w:val="11C87A2D"/>
    <w:rsid w:val="11F33009"/>
    <w:rsid w:val="1271C3BA"/>
    <w:rsid w:val="127D412D"/>
    <w:rsid w:val="12998B04"/>
    <w:rsid w:val="12BA7C81"/>
    <w:rsid w:val="134E99A2"/>
    <w:rsid w:val="13864141"/>
    <w:rsid w:val="13B89F96"/>
    <w:rsid w:val="14071435"/>
    <w:rsid w:val="143030DD"/>
    <w:rsid w:val="14B2F373"/>
    <w:rsid w:val="1511FAF1"/>
    <w:rsid w:val="1531CB84"/>
    <w:rsid w:val="1537A2DC"/>
    <w:rsid w:val="1566CB6D"/>
    <w:rsid w:val="15BE3C87"/>
    <w:rsid w:val="15CF68CA"/>
    <w:rsid w:val="1627B53B"/>
    <w:rsid w:val="163CD379"/>
    <w:rsid w:val="168BE6CC"/>
    <w:rsid w:val="169085E4"/>
    <w:rsid w:val="16F691E0"/>
    <w:rsid w:val="16FFDA6B"/>
    <w:rsid w:val="17099440"/>
    <w:rsid w:val="17529960"/>
    <w:rsid w:val="176879ED"/>
    <w:rsid w:val="1769A3C4"/>
    <w:rsid w:val="176EE16B"/>
    <w:rsid w:val="182323D1"/>
    <w:rsid w:val="18BD2789"/>
    <w:rsid w:val="18C1DDFC"/>
    <w:rsid w:val="18C74FC2"/>
    <w:rsid w:val="1950AE9B"/>
    <w:rsid w:val="19E9000D"/>
    <w:rsid w:val="1A27F573"/>
    <w:rsid w:val="1AA513D3"/>
    <w:rsid w:val="1B098CC6"/>
    <w:rsid w:val="1B208B33"/>
    <w:rsid w:val="1B5271EB"/>
    <w:rsid w:val="1B56BEBF"/>
    <w:rsid w:val="1BAED9E3"/>
    <w:rsid w:val="1BCD8E88"/>
    <w:rsid w:val="1BE4B570"/>
    <w:rsid w:val="1BEA1F92"/>
    <w:rsid w:val="1C4A89FF"/>
    <w:rsid w:val="1C5C4868"/>
    <w:rsid w:val="1CA2E0D0"/>
    <w:rsid w:val="1CFB9085"/>
    <w:rsid w:val="1D1D5986"/>
    <w:rsid w:val="1DD2101A"/>
    <w:rsid w:val="1DD8E548"/>
    <w:rsid w:val="1EB37FDE"/>
    <w:rsid w:val="1EC55CC5"/>
    <w:rsid w:val="1F213EC1"/>
    <w:rsid w:val="1F57D444"/>
    <w:rsid w:val="1F9E3658"/>
    <w:rsid w:val="1FB95AC3"/>
    <w:rsid w:val="1FC3AA45"/>
    <w:rsid w:val="1FE31060"/>
    <w:rsid w:val="20A730DA"/>
    <w:rsid w:val="20C48FF5"/>
    <w:rsid w:val="20CB3F61"/>
    <w:rsid w:val="20D013B6"/>
    <w:rsid w:val="21165839"/>
    <w:rsid w:val="2123A682"/>
    <w:rsid w:val="21700755"/>
    <w:rsid w:val="21822BB3"/>
    <w:rsid w:val="21932F1C"/>
    <w:rsid w:val="21AD4CEE"/>
    <w:rsid w:val="22FA2F84"/>
    <w:rsid w:val="2347A596"/>
    <w:rsid w:val="237792C9"/>
    <w:rsid w:val="238148D4"/>
    <w:rsid w:val="23D1F4A6"/>
    <w:rsid w:val="23F30D63"/>
    <w:rsid w:val="23FB17B3"/>
    <w:rsid w:val="23FBE68E"/>
    <w:rsid w:val="243EC39E"/>
    <w:rsid w:val="2442BB86"/>
    <w:rsid w:val="24D06156"/>
    <w:rsid w:val="24D4E1C9"/>
    <w:rsid w:val="24F38ED9"/>
    <w:rsid w:val="2518F094"/>
    <w:rsid w:val="254C47FA"/>
    <w:rsid w:val="25572A4E"/>
    <w:rsid w:val="2588A155"/>
    <w:rsid w:val="25C09F94"/>
    <w:rsid w:val="263D6B3F"/>
    <w:rsid w:val="26922361"/>
    <w:rsid w:val="26B5CD60"/>
    <w:rsid w:val="26C48610"/>
    <w:rsid w:val="270A6C8F"/>
    <w:rsid w:val="275B3329"/>
    <w:rsid w:val="27722850"/>
    <w:rsid w:val="27E94C20"/>
    <w:rsid w:val="282583A5"/>
    <w:rsid w:val="2833BF42"/>
    <w:rsid w:val="28423ADE"/>
    <w:rsid w:val="2863BC26"/>
    <w:rsid w:val="2882BCF0"/>
    <w:rsid w:val="28B3891F"/>
    <w:rsid w:val="28DF25BD"/>
    <w:rsid w:val="28F1A347"/>
    <w:rsid w:val="2915687E"/>
    <w:rsid w:val="292DEA6C"/>
    <w:rsid w:val="29384ABD"/>
    <w:rsid w:val="293B77D6"/>
    <w:rsid w:val="2A34C764"/>
    <w:rsid w:val="2A3968FC"/>
    <w:rsid w:val="2AA28ACB"/>
    <w:rsid w:val="2AF4D540"/>
    <w:rsid w:val="2B00C2FF"/>
    <w:rsid w:val="2B0B9ABE"/>
    <w:rsid w:val="2B7D0F96"/>
    <w:rsid w:val="2B98BC42"/>
    <w:rsid w:val="2BA6ACBF"/>
    <w:rsid w:val="2BA8F3E6"/>
    <w:rsid w:val="2BFF1597"/>
    <w:rsid w:val="2C3DD77A"/>
    <w:rsid w:val="2C47FB09"/>
    <w:rsid w:val="2D7000CB"/>
    <w:rsid w:val="2D73ED49"/>
    <w:rsid w:val="2DD2267C"/>
    <w:rsid w:val="2E1BA694"/>
    <w:rsid w:val="2E98784B"/>
    <w:rsid w:val="2E9A55A6"/>
    <w:rsid w:val="2EB07B4B"/>
    <w:rsid w:val="2EC9A3A8"/>
    <w:rsid w:val="2EDB2BC5"/>
    <w:rsid w:val="2F34F3BC"/>
    <w:rsid w:val="2FF4D2F5"/>
    <w:rsid w:val="304C4BAC"/>
    <w:rsid w:val="308771B8"/>
    <w:rsid w:val="308CA475"/>
    <w:rsid w:val="30AEE56C"/>
    <w:rsid w:val="30D85964"/>
    <w:rsid w:val="31508B43"/>
    <w:rsid w:val="31553363"/>
    <w:rsid w:val="3172B213"/>
    <w:rsid w:val="31900F83"/>
    <w:rsid w:val="319BF329"/>
    <w:rsid w:val="3225CCE5"/>
    <w:rsid w:val="329E0B4E"/>
    <w:rsid w:val="32F5BA05"/>
    <w:rsid w:val="33029A50"/>
    <w:rsid w:val="331ED172"/>
    <w:rsid w:val="333FA724"/>
    <w:rsid w:val="33748297"/>
    <w:rsid w:val="3398BBA1"/>
    <w:rsid w:val="33B79DEE"/>
    <w:rsid w:val="33D6CD08"/>
    <w:rsid w:val="33E47A43"/>
    <w:rsid w:val="33E90B59"/>
    <w:rsid w:val="33ED9AB4"/>
    <w:rsid w:val="3403953E"/>
    <w:rsid w:val="341E5287"/>
    <w:rsid w:val="3439DBAF"/>
    <w:rsid w:val="3459CD3A"/>
    <w:rsid w:val="3474B36F"/>
    <w:rsid w:val="3500EC0A"/>
    <w:rsid w:val="351FBCCF"/>
    <w:rsid w:val="36694EC5"/>
    <w:rsid w:val="36C59536"/>
    <w:rsid w:val="36E3B622"/>
    <w:rsid w:val="36EF3EB0"/>
    <w:rsid w:val="36FA6F13"/>
    <w:rsid w:val="371324D4"/>
    <w:rsid w:val="371D8EB6"/>
    <w:rsid w:val="3769B6E8"/>
    <w:rsid w:val="37A2D639"/>
    <w:rsid w:val="37A8E88D"/>
    <w:rsid w:val="37AB0BEE"/>
    <w:rsid w:val="37B721A7"/>
    <w:rsid w:val="37F64E02"/>
    <w:rsid w:val="37FFD7BF"/>
    <w:rsid w:val="380CD42C"/>
    <w:rsid w:val="38575D91"/>
    <w:rsid w:val="3890D905"/>
    <w:rsid w:val="38D5F525"/>
    <w:rsid w:val="3934A523"/>
    <w:rsid w:val="396FCA0B"/>
    <w:rsid w:val="39796093"/>
    <w:rsid w:val="3988566F"/>
    <w:rsid w:val="39A42CCB"/>
    <w:rsid w:val="39CE2A12"/>
    <w:rsid w:val="39E7C312"/>
    <w:rsid w:val="3A03006D"/>
    <w:rsid w:val="3A06E69A"/>
    <w:rsid w:val="3A18D4D5"/>
    <w:rsid w:val="3A3DEDDA"/>
    <w:rsid w:val="3A613C23"/>
    <w:rsid w:val="3A65A2D8"/>
    <w:rsid w:val="3AFB5619"/>
    <w:rsid w:val="3B22D852"/>
    <w:rsid w:val="3B2CD32E"/>
    <w:rsid w:val="3B4763C8"/>
    <w:rsid w:val="3B5E2D86"/>
    <w:rsid w:val="3B9FD4F3"/>
    <w:rsid w:val="3BB28A3A"/>
    <w:rsid w:val="3BCC2416"/>
    <w:rsid w:val="3C5245D7"/>
    <w:rsid w:val="3C760581"/>
    <w:rsid w:val="3C778661"/>
    <w:rsid w:val="3CE3DA80"/>
    <w:rsid w:val="3D4CE3F1"/>
    <w:rsid w:val="3D5812AA"/>
    <w:rsid w:val="3DA40ACE"/>
    <w:rsid w:val="3DB079A4"/>
    <w:rsid w:val="3DC95BE8"/>
    <w:rsid w:val="3E020867"/>
    <w:rsid w:val="3E463989"/>
    <w:rsid w:val="3E77FB5F"/>
    <w:rsid w:val="3E7DE796"/>
    <w:rsid w:val="3E82E7E3"/>
    <w:rsid w:val="3EBD0E5B"/>
    <w:rsid w:val="3EC69F15"/>
    <w:rsid w:val="3EFFFF97"/>
    <w:rsid w:val="3F3C209A"/>
    <w:rsid w:val="3F7B7D09"/>
    <w:rsid w:val="406A5CFC"/>
    <w:rsid w:val="406BAE2D"/>
    <w:rsid w:val="408B49AB"/>
    <w:rsid w:val="409AD00C"/>
    <w:rsid w:val="40F021BE"/>
    <w:rsid w:val="414F8951"/>
    <w:rsid w:val="417E5A07"/>
    <w:rsid w:val="4186E0D6"/>
    <w:rsid w:val="418E1243"/>
    <w:rsid w:val="41E20063"/>
    <w:rsid w:val="421CDFBC"/>
    <w:rsid w:val="425EBA66"/>
    <w:rsid w:val="42F62CF1"/>
    <w:rsid w:val="43232D00"/>
    <w:rsid w:val="4325B44A"/>
    <w:rsid w:val="434CE138"/>
    <w:rsid w:val="4350FF83"/>
    <w:rsid w:val="43681004"/>
    <w:rsid w:val="439AC43B"/>
    <w:rsid w:val="43C9EC51"/>
    <w:rsid w:val="43EE65F4"/>
    <w:rsid w:val="444BBCB7"/>
    <w:rsid w:val="4481F649"/>
    <w:rsid w:val="44E4A85D"/>
    <w:rsid w:val="45B51E04"/>
    <w:rsid w:val="45B890EF"/>
    <w:rsid w:val="46FA2FBD"/>
    <w:rsid w:val="47159E91"/>
    <w:rsid w:val="4760B182"/>
    <w:rsid w:val="47982168"/>
    <w:rsid w:val="47D5536A"/>
    <w:rsid w:val="48212FCE"/>
    <w:rsid w:val="48359861"/>
    <w:rsid w:val="489A292A"/>
    <w:rsid w:val="48A561F0"/>
    <w:rsid w:val="48DC5EB3"/>
    <w:rsid w:val="48E9565C"/>
    <w:rsid w:val="48F13761"/>
    <w:rsid w:val="4944C18C"/>
    <w:rsid w:val="49B8A5F8"/>
    <w:rsid w:val="49DF591B"/>
    <w:rsid w:val="4A2139F7"/>
    <w:rsid w:val="4A24930C"/>
    <w:rsid w:val="4A3135F9"/>
    <w:rsid w:val="4A70B2A9"/>
    <w:rsid w:val="4A86287A"/>
    <w:rsid w:val="4AC72E83"/>
    <w:rsid w:val="4AE21B1F"/>
    <w:rsid w:val="4AFD14AF"/>
    <w:rsid w:val="4B098B47"/>
    <w:rsid w:val="4B0C4BC0"/>
    <w:rsid w:val="4B429ED1"/>
    <w:rsid w:val="4C31DD1A"/>
    <w:rsid w:val="4C935933"/>
    <w:rsid w:val="4CA0248A"/>
    <w:rsid w:val="4CBFD8A3"/>
    <w:rsid w:val="4CD9986D"/>
    <w:rsid w:val="4CF8B331"/>
    <w:rsid w:val="4D320CF7"/>
    <w:rsid w:val="4DAB9AB8"/>
    <w:rsid w:val="4DCDAD7B"/>
    <w:rsid w:val="4DD87573"/>
    <w:rsid w:val="4E2B37B7"/>
    <w:rsid w:val="4E83D75D"/>
    <w:rsid w:val="4EB1C893"/>
    <w:rsid w:val="4F4D0566"/>
    <w:rsid w:val="4F4FCFA8"/>
    <w:rsid w:val="4F5C8066"/>
    <w:rsid w:val="50254CE0"/>
    <w:rsid w:val="5045EF7F"/>
    <w:rsid w:val="508BC3CF"/>
    <w:rsid w:val="51367007"/>
    <w:rsid w:val="5154B854"/>
    <w:rsid w:val="5158F048"/>
    <w:rsid w:val="51A0CF1D"/>
    <w:rsid w:val="51B0B9AB"/>
    <w:rsid w:val="525FE7C2"/>
    <w:rsid w:val="527CEE76"/>
    <w:rsid w:val="52DD092E"/>
    <w:rsid w:val="5308C8A4"/>
    <w:rsid w:val="534966D7"/>
    <w:rsid w:val="5367F9A8"/>
    <w:rsid w:val="53721E24"/>
    <w:rsid w:val="53ABB6A6"/>
    <w:rsid w:val="53B2DDF5"/>
    <w:rsid w:val="53ED28B0"/>
    <w:rsid w:val="53F5894A"/>
    <w:rsid w:val="548B4EFE"/>
    <w:rsid w:val="54E26B44"/>
    <w:rsid w:val="550A2FD4"/>
    <w:rsid w:val="551F6810"/>
    <w:rsid w:val="554727F5"/>
    <w:rsid w:val="55732333"/>
    <w:rsid w:val="55794F3C"/>
    <w:rsid w:val="55B40EC6"/>
    <w:rsid w:val="56358C6E"/>
    <w:rsid w:val="56A08FA2"/>
    <w:rsid w:val="56E35768"/>
    <w:rsid w:val="5733DA9E"/>
    <w:rsid w:val="5746A98D"/>
    <w:rsid w:val="57B8FFAF"/>
    <w:rsid w:val="57E07CEC"/>
    <w:rsid w:val="58BD35AC"/>
    <w:rsid w:val="58D83AAF"/>
    <w:rsid w:val="58EEE595"/>
    <w:rsid w:val="5923C34F"/>
    <w:rsid w:val="592F22BD"/>
    <w:rsid w:val="59449730"/>
    <w:rsid w:val="594DF48D"/>
    <w:rsid w:val="598EBD7E"/>
    <w:rsid w:val="59EA9D3D"/>
    <w:rsid w:val="59F40E7D"/>
    <w:rsid w:val="59FEC86F"/>
    <w:rsid w:val="5A30D0B8"/>
    <w:rsid w:val="5AD620C7"/>
    <w:rsid w:val="5B01FDA2"/>
    <w:rsid w:val="5B777E26"/>
    <w:rsid w:val="5B86EF9B"/>
    <w:rsid w:val="5B8EEECD"/>
    <w:rsid w:val="5BFEC01D"/>
    <w:rsid w:val="5C0630AF"/>
    <w:rsid w:val="5C06D6BB"/>
    <w:rsid w:val="5C1810FB"/>
    <w:rsid w:val="5D861365"/>
    <w:rsid w:val="5DBB72BF"/>
    <w:rsid w:val="5DC38024"/>
    <w:rsid w:val="5E2582DD"/>
    <w:rsid w:val="5E34DC80"/>
    <w:rsid w:val="5E3F5EE4"/>
    <w:rsid w:val="5F331E23"/>
    <w:rsid w:val="5F33A848"/>
    <w:rsid w:val="5F464BEC"/>
    <w:rsid w:val="5FB9CAAE"/>
    <w:rsid w:val="60242826"/>
    <w:rsid w:val="60F4B1D1"/>
    <w:rsid w:val="6118AA33"/>
    <w:rsid w:val="615BE775"/>
    <w:rsid w:val="61713F26"/>
    <w:rsid w:val="617B72F9"/>
    <w:rsid w:val="618F7EB9"/>
    <w:rsid w:val="61A7BEFF"/>
    <w:rsid w:val="61DD5401"/>
    <w:rsid w:val="6211D043"/>
    <w:rsid w:val="623125FA"/>
    <w:rsid w:val="623D4D73"/>
    <w:rsid w:val="629AF76C"/>
    <w:rsid w:val="629E9D29"/>
    <w:rsid w:val="62B830D5"/>
    <w:rsid w:val="63145A90"/>
    <w:rsid w:val="63452EB6"/>
    <w:rsid w:val="634F12DD"/>
    <w:rsid w:val="63505D10"/>
    <w:rsid w:val="6358938F"/>
    <w:rsid w:val="6358A854"/>
    <w:rsid w:val="636DF723"/>
    <w:rsid w:val="63ACB3D1"/>
    <w:rsid w:val="63B97086"/>
    <w:rsid w:val="63F58794"/>
    <w:rsid w:val="63F91EAE"/>
    <w:rsid w:val="6419315F"/>
    <w:rsid w:val="64226ED6"/>
    <w:rsid w:val="645B004F"/>
    <w:rsid w:val="649CF18D"/>
    <w:rsid w:val="654FA666"/>
    <w:rsid w:val="655ECF29"/>
    <w:rsid w:val="65A364E0"/>
    <w:rsid w:val="65CA9B1E"/>
    <w:rsid w:val="65DDA853"/>
    <w:rsid w:val="667B8336"/>
    <w:rsid w:val="66D585D3"/>
    <w:rsid w:val="679C5A59"/>
    <w:rsid w:val="67A60231"/>
    <w:rsid w:val="67D2CF9D"/>
    <w:rsid w:val="67D6B0E5"/>
    <w:rsid w:val="67EC582F"/>
    <w:rsid w:val="67FBF237"/>
    <w:rsid w:val="685F713B"/>
    <w:rsid w:val="68660DD2"/>
    <w:rsid w:val="6878CDE8"/>
    <w:rsid w:val="6892CEF6"/>
    <w:rsid w:val="68C1A9DF"/>
    <w:rsid w:val="68C68D81"/>
    <w:rsid w:val="68FA4377"/>
    <w:rsid w:val="690E0F43"/>
    <w:rsid w:val="6995B998"/>
    <w:rsid w:val="69961B78"/>
    <w:rsid w:val="699F9AF2"/>
    <w:rsid w:val="69B816F9"/>
    <w:rsid w:val="69DF4AB6"/>
    <w:rsid w:val="69F44B80"/>
    <w:rsid w:val="6A39097A"/>
    <w:rsid w:val="6A512F5C"/>
    <w:rsid w:val="6A9692A4"/>
    <w:rsid w:val="6AE2241F"/>
    <w:rsid w:val="6B0B0E82"/>
    <w:rsid w:val="6B20C81B"/>
    <w:rsid w:val="6B449FF9"/>
    <w:rsid w:val="6B6E99D0"/>
    <w:rsid w:val="6BDECDDF"/>
    <w:rsid w:val="6C0C07C6"/>
    <w:rsid w:val="6C36C052"/>
    <w:rsid w:val="6C404287"/>
    <w:rsid w:val="6C5D0BDE"/>
    <w:rsid w:val="6CDF9ED4"/>
    <w:rsid w:val="6D69CE48"/>
    <w:rsid w:val="6D74BBD7"/>
    <w:rsid w:val="6D81CD8F"/>
    <w:rsid w:val="6D8725D4"/>
    <w:rsid w:val="6DC728E7"/>
    <w:rsid w:val="6DD239EE"/>
    <w:rsid w:val="6DDC5268"/>
    <w:rsid w:val="6E4FC22E"/>
    <w:rsid w:val="6ED49484"/>
    <w:rsid w:val="6EDC7D2B"/>
    <w:rsid w:val="6EDD759A"/>
    <w:rsid w:val="6F04A376"/>
    <w:rsid w:val="6F5B595F"/>
    <w:rsid w:val="6F6D2829"/>
    <w:rsid w:val="6F9A5903"/>
    <w:rsid w:val="6F9D94EF"/>
    <w:rsid w:val="6FF60D6D"/>
    <w:rsid w:val="7025B379"/>
    <w:rsid w:val="7045FD10"/>
    <w:rsid w:val="70489AF9"/>
    <w:rsid w:val="70B484B5"/>
    <w:rsid w:val="70D66363"/>
    <w:rsid w:val="70E543CC"/>
    <w:rsid w:val="70EF9B9E"/>
    <w:rsid w:val="711256ED"/>
    <w:rsid w:val="711CD5DD"/>
    <w:rsid w:val="718762F0"/>
    <w:rsid w:val="71C02F06"/>
    <w:rsid w:val="71DD501C"/>
    <w:rsid w:val="71FFB38E"/>
    <w:rsid w:val="72079F8D"/>
    <w:rsid w:val="720ECBB0"/>
    <w:rsid w:val="727B25E3"/>
    <w:rsid w:val="72BC2B5B"/>
    <w:rsid w:val="73088490"/>
    <w:rsid w:val="73233351"/>
    <w:rsid w:val="73594A1B"/>
    <w:rsid w:val="73945B21"/>
    <w:rsid w:val="73A5D13B"/>
    <w:rsid w:val="73E2CB61"/>
    <w:rsid w:val="74074BB1"/>
    <w:rsid w:val="7457FBBC"/>
    <w:rsid w:val="74AA903E"/>
    <w:rsid w:val="74D34E9A"/>
    <w:rsid w:val="74D8623E"/>
    <w:rsid w:val="7520EAD4"/>
    <w:rsid w:val="75805E25"/>
    <w:rsid w:val="75942F3E"/>
    <w:rsid w:val="7594E141"/>
    <w:rsid w:val="76188F5F"/>
    <w:rsid w:val="762E7226"/>
    <w:rsid w:val="7644A12D"/>
    <w:rsid w:val="76BC01A3"/>
    <w:rsid w:val="76F79AF7"/>
    <w:rsid w:val="773CA22F"/>
    <w:rsid w:val="77714F48"/>
    <w:rsid w:val="77BAE48A"/>
    <w:rsid w:val="77D3647D"/>
    <w:rsid w:val="77D58A3A"/>
    <w:rsid w:val="77DE5879"/>
    <w:rsid w:val="77F235F4"/>
    <w:rsid w:val="77FD4AC3"/>
    <w:rsid w:val="783C5D84"/>
    <w:rsid w:val="7841876F"/>
    <w:rsid w:val="78495E05"/>
    <w:rsid w:val="78835F71"/>
    <w:rsid w:val="789911EF"/>
    <w:rsid w:val="7916B872"/>
    <w:rsid w:val="793A7BA4"/>
    <w:rsid w:val="7971D027"/>
    <w:rsid w:val="79D150B6"/>
    <w:rsid w:val="7A1C5BD5"/>
    <w:rsid w:val="7A204ADF"/>
    <w:rsid w:val="7A27E3EC"/>
    <w:rsid w:val="7A58E8EE"/>
    <w:rsid w:val="7B17112F"/>
    <w:rsid w:val="7B2129D6"/>
    <w:rsid w:val="7B33D488"/>
    <w:rsid w:val="7B593B86"/>
    <w:rsid w:val="7BB3244E"/>
    <w:rsid w:val="7BD7FD12"/>
    <w:rsid w:val="7C2A8A4F"/>
    <w:rsid w:val="7C3B43A6"/>
    <w:rsid w:val="7C6DFF3D"/>
    <w:rsid w:val="7CB59A89"/>
    <w:rsid w:val="7CF9740F"/>
    <w:rsid w:val="7D3DA837"/>
    <w:rsid w:val="7D82B08C"/>
    <w:rsid w:val="7E1DA6AB"/>
    <w:rsid w:val="7E22B5EA"/>
    <w:rsid w:val="7E4A9387"/>
    <w:rsid w:val="7E7A90F9"/>
    <w:rsid w:val="7E861DF0"/>
    <w:rsid w:val="7E95D8DA"/>
    <w:rsid w:val="7EAAE717"/>
    <w:rsid w:val="7EDA7013"/>
    <w:rsid w:val="7F2075EC"/>
    <w:rsid w:val="7F47C251"/>
    <w:rsid w:val="7F5A4AFB"/>
    <w:rsid w:val="7F610357"/>
    <w:rsid w:val="7F9CCB62"/>
    <w:rsid w:val="7FE38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D20A7"/>
  <w15:docId w15:val="{2DFBFF76-3638-4E8F-8AA1-AC8E039F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F3D"/>
    <w:rPr>
      <w:sz w:val="24"/>
      <w:szCs w:val="24"/>
    </w:rPr>
  </w:style>
  <w:style w:type="paragraph" w:styleId="Heading1">
    <w:name w:val="heading 1"/>
    <w:aliases w:val="Nadpis 1 - analyza"/>
    <w:basedOn w:val="Normal"/>
    <w:next w:val="Normal"/>
    <w:link w:val="Heading1Char"/>
    <w:qFormat/>
    <w:rsid w:val="00CB1AF7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CB1AF7"/>
    <w:pPr>
      <w:keepNext/>
      <w:jc w:val="both"/>
      <w:outlineLvl w:val="1"/>
    </w:pPr>
    <w:rPr>
      <w:rFonts w:ascii="Univers Cd (WE)" w:hAnsi="Univers Cd (WE)"/>
      <w:bCs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B1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1A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C41BC"/>
    <w:pPr>
      <w:keepNext/>
      <w:autoSpaceDE w:val="0"/>
      <w:autoSpaceDN w:val="0"/>
      <w:adjustRightInd w:val="0"/>
      <w:outlineLvl w:val="4"/>
    </w:pPr>
    <w:rPr>
      <w:rFonts w:ascii="Arial Narrow" w:hAnsi="Arial Narrow"/>
      <w:b/>
      <w:bCs/>
      <w:color w:val="000000"/>
      <w:sz w:val="18"/>
      <w:szCs w:val="22"/>
    </w:rPr>
  </w:style>
  <w:style w:type="paragraph" w:styleId="Heading6">
    <w:name w:val="heading 6"/>
    <w:basedOn w:val="Normal"/>
    <w:next w:val="Normal"/>
    <w:link w:val="Heading6Char"/>
    <w:qFormat/>
    <w:rsid w:val="006C41BC"/>
    <w:pPr>
      <w:keepNext/>
      <w:autoSpaceDE w:val="0"/>
      <w:autoSpaceDN w:val="0"/>
      <w:adjustRightInd w:val="0"/>
      <w:outlineLvl w:val="5"/>
    </w:pPr>
    <w:rPr>
      <w:rFonts w:ascii="Arial Narrow" w:hAnsi="Arial Narrow"/>
      <w:b/>
      <w:bCs/>
      <w:color w:val="000000"/>
      <w:sz w:val="16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C41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6C41BC"/>
    <w:pPr>
      <w:keepNext/>
      <w:jc w:val="center"/>
      <w:outlineLvl w:val="7"/>
    </w:pPr>
    <w:rPr>
      <w:rFonts w:ascii="Arial Narrow" w:hAnsi="Arial Narrow"/>
      <w:b/>
      <w:bCs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6C41BC"/>
    <w:pPr>
      <w:keepNext/>
      <w:outlineLvl w:val="8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B1AF7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CB1AF7"/>
    <w:pPr>
      <w:spacing w:after="120"/>
    </w:pPr>
  </w:style>
  <w:style w:type="paragraph" w:styleId="Subtitle">
    <w:name w:val="Subtitle"/>
    <w:basedOn w:val="Normal"/>
    <w:link w:val="SubtitleChar"/>
    <w:qFormat/>
    <w:rsid w:val="00CB1AF7"/>
    <w:pPr>
      <w:jc w:val="center"/>
    </w:pPr>
    <w:rPr>
      <w:b/>
      <w:bCs/>
      <w:sz w:val="40"/>
    </w:rPr>
  </w:style>
  <w:style w:type="paragraph" w:customStyle="1" w:styleId="1slaSEZChar1">
    <w:name w:val="(1) čísla SEZ Char1"/>
    <w:basedOn w:val="Normal"/>
    <w:rsid w:val="00CB1AF7"/>
    <w:pPr>
      <w:tabs>
        <w:tab w:val="num" w:pos="520"/>
      </w:tabs>
      <w:spacing w:before="120"/>
      <w:ind w:left="520" w:hanging="340"/>
      <w:jc w:val="both"/>
    </w:pPr>
    <w:rPr>
      <w:sz w:val="22"/>
      <w:szCs w:val="22"/>
    </w:rPr>
  </w:style>
  <w:style w:type="paragraph" w:styleId="BodyText2">
    <w:name w:val="Body Text 2"/>
    <w:basedOn w:val="Normal"/>
    <w:link w:val="BodyText2Char"/>
    <w:rsid w:val="00CB1AF7"/>
    <w:pPr>
      <w:spacing w:after="120" w:line="480" w:lineRule="auto"/>
    </w:pPr>
  </w:style>
  <w:style w:type="character" w:styleId="PageNumber">
    <w:name w:val="page number"/>
    <w:basedOn w:val="DefaultParagraphFont"/>
    <w:rsid w:val="008672D2"/>
  </w:style>
  <w:style w:type="character" w:styleId="Strong">
    <w:name w:val="Strong"/>
    <w:basedOn w:val="DefaultParagraphFont"/>
    <w:qFormat/>
    <w:rsid w:val="006B5397"/>
    <w:rPr>
      <w:b/>
      <w:bCs/>
    </w:rPr>
  </w:style>
  <w:style w:type="paragraph" w:styleId="FootnoteText">
    <w:name w:val="footnote text"/>
    <w:basedOn w:val="Normal"/>
    <w:link w:val="FootnoteTextChar"/>
    <w:rsid w:val="006B5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5397"/>
  </w:style>
  <w:style w:type="character" w:styleId="FootnoteReference">
    <w:name w:val="footnote reference"/>
    <w:basedOn w:val="DefaultParagraphFont"/>
    <w:rsid w:val="006B5397"/>
    <w:rPr>
      <w:vertAlign w:val="superscript"/>
    </w:rPr>
  </w:style>
  <w:style w:type="paragraph" w:styleId="ListParagraph">
    <w:name w:val="List Paragraph"/>
    <w:aliases w:val="Odstavec_muj,Nad,Odstavec cíl se seznamem,Odstavec se seznamem5"/>
    <w:basedOn w:val="Normal"/>
    <w:link w:val="ListParagraphChar"/>
    <w:uiPriority w:val="34"/>
    <w:qFormat/>
    <w:rsid w:val="00B41F34"/>
    <w:pPr>
      <w:ind w:left="720"/>
      <w:contextualSpacing/>
    </w:pPr>
  </w:style>
  <w:style w:type="character" w:styleId="Hyperlink">
    <w:name w:val="Hyperlink"/>
    <w:basedOn w:val="DefaultParagraphFont"/>
    <w:rsid w:val="0059662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41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3">
    <w:name w:val="Body Text 3"/>
    <w:basedOn w:val="Normal"/>
    <w:link w:val="BodyText3Char"/>
    <w:rsid w:val="006C41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1BC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6C41BC"/>
    <w:rPr>
      <w:rFonts w:ascii="Arial Narrow" w:hAnsi="Arial Narrow"/>
      <w:b/>
      <w:bCs/>
      <w:color w:val="000000"/>
      <w:sz w:val="18"/>
      <w:szCs w:val="22"/>
    </w:rPr>
  </w:style>
  <w:style w:type="character" w:customStyle="1" w:styleId="Heading6Char">
    <w:name w:val="Heading 6 Char"/>
    <w:basedOn w:val="DefaultParagraphFont"/>
    <w:link w:val="Heading6"/>
    <w:rsid w:val="006C41BC"/>
    <w:rPr>
      <w:rFonts w:ascii="Arial Narrow" w:hAnsi="Arial Narrow"/>
      <w:b/>
      <w:bCs/>
      <w:color w:val="000000"/>
      <w:sz w:val="16"/>
      <w:szCs w:val="22"/>
    </w:rPr>
  </w:style>
  <w:style w:type="character" w:customStyle="1" w:styleId="Heading8Char">
    <w:name w:val="Heading 8 Char"/>
    <w:basedOn w:val="DefaultParagraphFont"/>
    <w:link w:val="Heading8"/>
    <w:rsid w:val="006C41BC"/>
    <w:rPr>
      <w:rFonts w:ascii="Arial Narrow" w:hAnsi="Arial Narrow"/>
      <w:b/>
      <w:b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rsid w:val="006C41BC"/>
    <w:rPr>
      <w:b/>
      <w:bCs/>
      <w:color w:val="0000FF"/>
      <w:sz w:val="28"/>
      <w:szCs w:val="24"/>
    </w:rPr>
  </w:style>
  <w:style w:type="character" w:customStyle="1" w:styleId="Heading1Char">
    <w:name w:val="Heading 1 Char"/>
    <w:aliases w:val="Nadpis 1 - analyza Char"/>
    <w:basedOn w:val="DefaultParagraphFont"/>
    <w:link w:val="Heading1"/>
    <w:rsid w:val="006C41BC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C41BC"/>
    <w:rPr>
      <w:rFonts w:ascii="Univers Cd (WE)" w:hAnsi="Univers Cd (WE)"/>
      <w:bCs/>
      <w:i/>
      <w:iCs/>
    </w:rPr>
  </w:style>
  <w:style w:type="character" w:customStyle="1" w:styleId="Heading3Char">
    <w:name w:val="Heading 3 Char"/>
    <w:basedOn w:val="DefaultParagraphFont"/>
    <w:link w:val="Heading3"/>
    <w:rsid w:val="006C41B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C41BC"/>
    <w:rPr>
      <w:b/>
      <w:bCs/>
      <w:sz w:val="28"/>
      <w:szCs w:val="28"/>
    </w:rPr>
  </w:style>
  <w:style w:type="character" w:styleId="FollowedHyperlink">
    <w:name w:val="FollowedHyperlink"/>
    <w:basedOn w:val="DefaultParagraphFont"/>
    <w:rsid w:val="006C41BC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41BC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6C41BC"/>
    <w:rPr>
      <w:sz w:val="24"/>
      <w:szCs w:val="24"/>
    </w:rPr>
  </w:style>
  <w:style w:type="paragraph" w:styleId="Header">
    <w:name w:val="header"/>
    <w:basedOn w:val="Normal"/>
    <w:link w:val="HeaderChar"/>
    <w:rsid w:val="006C41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41B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C41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41B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41BC"/>
    <w:rPr>
      <w:sz w:val="24"/>
      <w:szCs w:val="24"/>
    </w:rPr>
  </w:style>
  <w:style w:type="paragraph" w:styleId="Caption">
    <w:name w:val="caption"/>
    <w:basedOn w:val="Normal"/>
    <w:next w:val="Normal"/>
    <w:qFormat/>
    <w:rsid w:val="006C41BC"/>
    <w:rPr>
      <w:rFonts w:ascii="Arial Narrow" w:hAnsi="Arial Narrow"/>
      <w:b/>
      <w:bCs/>
      <w:sz w:val="16"/>
    </w:rPr>
  </w:style>
  <w:style w:type="paragraph" w:styleId="BalloonText">
    <w:name w:val="Balloon Text"/>
    <w:basedOn w:val="Normal"/>
    <w:link w:val="BalloonTextChar"/>
    <w:rsid w:val="006C41BC"/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1B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6C41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1BC"/>
    <w:rPr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1B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C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41BC"/>
    <w:rPr>
      <w:b/>
      <w:bCs/>
      <w:color w:val="000000"/>
    </w:rPr>
  </w:style>
  <w:style w:type="paragraph" w:customStyle="1" w:styleId="Nadpis2-analyza">
    <w:name w:val="Nadpis 2 - analyza"/>
    <w:basedOn w:val="Heading2"/>
    <w:autoRedefine/>
    <w:rsid w:val="006C41BC"/>
    <w:pPr>
      <w:spacing w:before="120" w:after="60"/>
      <w:jc w:val="left"/>
    </w:pPr>
    <w:rPr>
      <w:rFonts w:ascii="Arial" w:hAnsi="Arial" w:cs="Arial"/>
      <w:b/>
      <w:color w:val="000080"/>
      <w:sz w:val="22"/>
      <w:szCs w:val="28"/>
    </w:rPr>
  </w:style>
  <w:style w:type="paragraph" w:customStyle="1" w:styleId="Grafy-analyza">
    <w:name w:val="Grafy - analyza"/>
    <w:basedOn w:val="Normal"/>
    <w:autoRedefine/>
    <w:rsid w:val="006C41BC"/>
    <w:pPr>
      <w:spacing w:before="120" w:after="120"/>
    </w:pPr>
    <w:rPr>
      <w:rFonts w:ascii="Arial" w:hAnsi="Arial" w:cs="Tahoma"/>
      <w:bCs/>
      <w:i/>
      <w:iCs/>
      <w:color w:val="000000"/>
      <w:sz w:val="18"/>
      <w:szCs w:val="18"/>
    </w:rPr>
  </w:style>
  <w:style w:type="paragraph" w:customStyle="1" w:styleId="Poznmky-analyza">
    <w:name w:val="Poznámky - analyza"/>
    <w:basedOn w:val="Normal"/>
    <w:autoRedefine/>
    <w:rsid w:val="006C41BC"/>
    <w:pPr>
      <w:spacing w:before="120" w:after="120"/>
    </w:pPr>
    <w:rPr>
      <w:rFonts w:ascii="Arial" w:hAnsi="Arial" w:cs="Tahoma"/>
      <w:bCs/>
      <w:iCs/>
      <w:color w:val="000000"/>
      <w:sz w:val="18"/>
      <w:szCs w:val="18"/>
    </w:rPr>
  </w:style>
  <w:style w:type="paragraph" w:customStyle="1" w:styleId="SMLnadpisA">
    <w:name w:val="(SML) nadpis A"/>
    <w:basedOn w:val="Heading1"/>
    <w:rsid w:val="001E400F"/>
    <w:pPr>
      <w:spacing w:before="60"/>
      <w:jc w:val="center"/>
    </w:pPr>
    <w:rPr>
      <w:bCs w:val="0"/>
      <w:sz w:val="40"/>
      <w:szCs w:val="40"/>
    </w:rPr>
  </w:style>
  <w:style w:type="paragraph" w:customStyle="1" w:styleId="zklad">
    <w:name w:val="základ"/>
    <w:basedOn w:val="Normal"/>
    <w:rsid w:val="001E400F"/>
    <w:pPr>
      <w:spacing w:before="60" w:after="120"/>
      <w:jc w:val="both"/>
    </w:pPr>
    <w:rPr>
      <w:iCs/>
    </w:rPr>
  </w:style>
  <w:style w:type="paragraph" w:customStyle="1" w:styleId="zhlav-znaka">
    <w:name w:val="záhlaví-značka"/>
    <w:basedOn w:val="Header"/>
    <w:rsid w:val="00B876A1"/>
    <w:pPr>
      <w:tabs>
        <w:tab w:val="clear" w:pos="4536"/>
        <w:tab w:val="clear" w:pos="9072"/>
        <w:tab w:val="left" w:pos="1620"/>
      </w:tabs>
      <w:spacing w:before="50"/>
      <w:jc w:val="both"/>
    </w:pPr>
    <w:rPr>
      <w:rFonts w:ascii="Arial" w:hAnsi="Arial" w:cs="Arial"/>
      <w:sz w:val="16"/>
      <w:szCs w:val="16"/>
    </w:rPr>
  </w:style>
  <w:style w:type="paragraph" w:customStyle="1" w:styleId="zhlav-odbor">
    <w:name w:val="záhlaví-odbor"/>
    <w:basedOn w:val="Header"/>
    <w:rsid w:val="00B876A1"/>
    <w:pPr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al"/>
    <w:rsid w:val="00B876A1"/>
    <w:pPr>
      <w:tabs>
        <w:tab w:val="left" w:pos="1440"/>
      </w:tabs>
      <w:spacing w:line="204" w:lineRule="auto"/>
      <w:jc w:val="both"/>
    </w:pPr>
  </w:style>
  <w:style w:type="paragraph" w:customStyle="1" w:styleId="Vc">
    <w:name w:val="Věc"/>
    <w:basedOn w:val="Header"/>
    <w:rsid w:val="00B876A1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Plohy">
    <w:name w:val="Přílohy"/>
    <w:basedOn w:val="Normal"/>
    <w:rsid w:val="00B876A1"/>
    <w:pPr>
      <w:jc w:val="both"/>
    </w:pPr>
    <w:rPr>
      <w:u w:val="single"/>
    </w:rPr>
  </w:style>
  <w:style w:type="paragraph" w:customStyle="1" w:styleId="ed">
    <w:name w:val="šedá"/>
    <w:basedOn w:val="Normal"/>
    <w:rsid w:val="00B876A1"/>
    <w:pPr>
      <w:jc w:val="both"/>
    </w:pPr>
    <w:rPr>
      <w:color w:val="999999"/>
    </w:rPr>
  </w:style>
  <w:style w:type="paragraph" w:customStyle="1" w:styleId="zahlavi-odbor-radek">
    <w:name w:val="zahlavi-odbor-radek"/>
    <w:basedOn w:val="zhlav-odbor"/>
    <w:rsid w:val="00B876A1"/>
    <w:pPr>
      <w:spacing w:after="80"/>
    </w:pPr>
  </w:style>
  <w:style w:type="paragraph" w:styleId="Title">
    <w:name w:val="Title"/>
    <w:basedOn w:val="Normal"/>
    <w:link w:val="TitleChar"/>
    <w:qFormat/>
    <w:rsid w:val="00CB346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CB3469"/>
    <w:rPr>
      <w:b/>
      <w:sz w:val="24"/>
      <w:szCs w:val="24"/>
      <w:u w:val="single"/>
    </w:rPr>
  </w:style>
  <w:style w:type="character" w:customStyle="1" w:styleId="ListParagraphChar">
    <w:name w:val="List Paragraph Char"/>
    <w:aliases w:val="Odstavec_muj Char,Nad Char,Odstavec cíl se seznamem Char,Odstavec se seznamem5 Char"/>
    <w:link w:val="ListParagraph"/>
    <w:uiPriority w:val="34"/>
    <w:rsid w:val="009F0426"/>
    <w:rPr>
      <w:sz w:val="24"/>
      <w:szCs w:val="24"/>
    </w:rPr>
  </w:style>
  <w:style w:type="paragraph" w:customStyle="1" w:styleId="Nadpisoddlu">
    <w:name w:val="Nadpis oddílu"/>
    <w:basedOn w:val="Normal"/>
    <w:next w:val="Normal"/>
    <w:rsid w:val="009F0426"/>
    <w:pPr>
      <w:keepNext/>
      <w:keepLines/>
      <w:jc w:val="center"/>
      <w:outlineLvl w:val="4"/>
    </w:pPr>
    <w:rPr>
      <w:b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BF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E1604"/>
    <w:rPr>
      <w:sz w:val="24"/>
      <w:szCs w:val="24"/>
    </w:rPr>
  </w:style>
  <w:style w:type="paragraph" w:styleId="Revision">
    <w:name w:val="Revision"/>
    <w:hidden/>
    <w:uiPriority w:val="99"/>
    <w:semiHidden/>
    <w:rsid w:val="00452337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44F4E"/>
    <w:rPr>
      <w:b/>
      <w:bCs/>
      <w:sz w:val="40"/>
      <w:szCs w:val="24"/>
    </w:rPr>
  </w:style>
  <w:style w:type="table" w:styleId="TableGrid">
    <w:name w:val="Table Grid"/>
    <w:basedOn w:val="TableNormal"/>
    <w:uiPriority w:val="39"/>
    <w:rsid w:val="00844F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uiPriority w:val="99"/>
    <w:semiHidden/>
    <w:unhideWhenUsed/>
    <w:rsid w:val="00844F4E"/>
    <w:rPr>
      <w:i/>
      <w:iCs/>
    </w:rPr>
  </w:style>
  <w:style w:type="character" w:customStyle="1" w:styleId="nowrap">
    <w:name w:val="nowrap"/>
    <w:basedOn w:val="DefaultParagraphFont"/>
    <w:rsid w:val="00C763A8"/>
  </w:style>
  <w:style w:type="character" w:styleId="SubtleEmphasis">
    <w:name w:val="Subtle Emphasis"/>
    <w:basedOn w:val="DefaultParagraphFont"/>
    <w:uiPriority w:val="19"/>
    <w:qFormat/>
    <w:rsid w:val="00E65F8D"/>
    <w:rPr>
      <w:i/>
      <w:iCs/>
      <w:color w:val="404040" w:themeColor="text1" w:themeTint="BF"/>
    </w:rPr>
  </w:style>
  <w:style w:type="paragraph" w:customStyle="1" w:styleId="Default">
    <w:name w:val="Default"/>
    <w:rsid w:val="00D059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4439F4"/>
  </w:style>
  <w:style w:type="character" w:customStyle="1" w:styleId="eop">
    <w:name w:val="eop"/>
    <w:basedOn w:val="DefaultParagraphFont"/>
    <w:rsid w:val="004439F4"/>
  </w:style>
  <w:style w:type="character" w:styleId="Mention">
    <w:name w:val="Mention"/>
    <w:basedOn w:val="DefaultParagraphFont"/>
    <w:uiPriority w:val="99"/>
    <w:unhideWhenUsed/>
    <w:rsid w:val="004439F4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E86055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AD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brno.cz/manual.html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ezak.brno.cz/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szkova.sona@brno.cz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raszkova.sona@brno.cz" TargetMode="Externa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pora@ezak.cz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FD6B269B36E43A133F7603A198BB5" ma:contentTypeVersion="18" ma:contentTypeDescription="Vytvoří nový dokument" ma:contentTypeScope="" ma:versionID="2cf8f71f052dc8977453fba4988d1e55">
  <xsd:schema xmlns:xsd="http://www.w3.org/2001/XMLSchema" xmlns:xs="http://www.w3.org/2001/XMLSchema" xmlns:p="http://schemas.microsoft.com/office/2006/metadata/properties" xmlns:ns2="8b91514b-68c4-4329-a828-a2b3095b7698" xmlns:ns3="60403ebf-5d3e-4979-b65f-6f7056845389" targetNamespace="http://schemas.microsoft.com/office/2006/metadata/properties" ma:root="true" ma:fieldsID="b146c40fee3a31e760e033a1f579e67b" ns2:_="" ns3:_="">
    <xsd:import namespace="8b91514b-68c4-4329-a828-a2b3095b7698"/>
    <xsd:import namespace="60403ebf-5d3e-4979-b65f-6f7056845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1514b-68c4-4329-a828-a2b3095b7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03ebf-5d3e-4979-b65f-6f7056845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0ca4ad-07a6-4f7c-ac9c-2e6035996ee6}" ma:internalName="TaxCatchAll" ma:showField="CatchAllData" ma:web="60403ebf-5d3e-4979-b65f-6f7056845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1514b-68c4-4329-a828-a2b3095b7698">
      <Terms xmlns="http://schemas.microsoft.com/office/infopath/2007/PartnerControls"/>
    </lcf76f155ced4ddcb4097134ff3c332f>
    <TaxCatchAll xmlns="60403ebf-5d3e-4979-b65f-6f7056845389" xsi:nil="true"/>
    <SharedWithUsers xmlns="60403ebf-5d3e-4979-b65f-6f7056845389">
      <UserInfo>
        <DisplayName>Šašinka Petr (MMB_OSRS)</DisplayName>
        <AccountId>12</AccountId>
        <AccountType/>
      </UserInfo>
      <UserInfo>
        <DisplayName>Dvořák Zdeněk (MMB_OSRS)</DisplayName>
        <AccountId>11</AccountId>
        <AccountType/>
      </UserInfo>
      <UserInfo>
        <DisplayName>Mikuš Jaroslav (MMB_OSRS)</DisplayName>
        <AccountId>32</AccountId>
        <AccountType/>
      </UserInfo>
      <UserInfo>
        <DisplayName>Kubeš František (MMB_OSRS)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0FBC68-A74C-4667-B1D5-D8D8879BA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396AD-DF2D-49F1-8573-EC91B64AA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8ADC0-DB02-43EC-AEBA-57CBABE37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1514b-68c4-4329-a828-a2b3095b7698"/>
    <ds:schemaRef ds:uri="60403ebf-5d3e-4979-b65f-6f7056845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3F5D4-10D7-4274-817A-FDB47EE1FB53}">
  <ds:schemaRefs>
    <ds:schemaRef ds:uri="http://purl.org/dc/terms/"/>
    <ds:schemaRef ds:uri="http://schemas.openxmlformats.org/package/2006/metadata/core-properties"/>
    <ds:schemaRef ds:uri="60403ebf-5d3e-4979-b65f-6f7056845389"/>
    <ds:schemaRef ds:uri="http://schemas.microsoft.com/office/2006/documentManagement/types"/>
    <ds:schemaRef ds:uri="http://schemas.microsoft.com/office/infopath/2007/PartnerControls"/>
    <ds:schemaRef ds:uri="8b91514b-68c4-4329-a828-a2b3095b769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7399</Words>
  <Characters>42179</Characters>
  <Application>Microsoft Office Word</Application>
  <DocSecurity>4</DocSecurity>
  <Lines>351</Lines>
  <Paragraphs>98</Paragraphs>
  <ScaleCrop>false</ScaleCrop>
  <Company/>
  <LinksUpToDate>false</LinksUpToDate>
  <CharactersWithSpaces>49480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Raszková Soňa (MMB_OSRS)</cp:lastModifiedBy>
  <cp:revision>90</cp:revision>
  <dcterms:created xsi:type="dcterms:W3CDTF">2025-04-29T19:28:00Z</dcterms:created>
  <dcterms:modified xsi:type="dcterms:W3CDTF">2025-05-07T05:34:00Z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0x010100DA1FD6B269B36E43A133F7603A198BB5</vt:lpwstr>
  </property>
  <property fmtid="{D5CDD505-2E9C-101B-9397-08002B2CF9AE}" pid="3" name="MediaServiceImageTags">
    <vt:lpwstr/>
  </property>
</Properties>
</file>