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F80" w14:textId="77777777" w:rsidR="00C4650D" w:rsidRPr="005C4C78" w:rsidRDefault="00C4650D" w:rsidP="0045051D">
      <w:pPr>
        <w:pStyle w:val="Nadpis1"/>
        <w:spacing w:after="60" w:line="276" w:lineRule="auto"/>
        <w:rPr>
          <w:rFonts w:ascii="Aptos" w:hAnsi="Aptos" w:cs="Arial"/>
          <w:sz w:val="22"/>
          <w:szCs w:val="22"/>
        </w:rPr>
      </w:pPr>
      <w:r w:rsidRPr="005C4C78">
        <w:rPr>
          <w:rFonts w:ascii="Aptos" w:hAnsi="Aptos" w:cs="Arial"/>
          <w:sz w:val="22"/>
          <w:szCs w:val="22"/>
        </w:rPr>
        <w:t xml:space="preserve">Příloha </w:t>
      </w:r>
      <w:r w:rsidR="00B16FCB" w:rsidRPr="005C4C78">
        <w:rPr>
          <w:rFonts w:ascii="Aptos" w:hAnsi="Aptos" w:cs="Arial"/>
          <w:sz w:val="22"/>
          <w:szCs w:val="22"/>
        </w:rPr>
        <w:t>3</w:t>
      </w:r>
    </w:p>
    <w:p w14:paraId="6E5DFA55" w14:textId="14926998" w:rsidR="00B16FCB" w:rsidRPr="005C4C78" w:rsidRDefault="005C4C78" w:rsidP="0045051D">
      <w:pPr>
        <w:widowControl w:val="0"/>
        <w:autoSpaceDE w:val="0"/>
        <w:autoSpaceDN w:val="0"/>
        <w:adjustRightInd w:val="0"/>
        <w:spacing w:after="60" w:line="276" w:lineRule="auto"/>
        <w:jc w:val="center"/>
        <w:rPr>
          <w:rStyle w:val="Nzevknihy"/>
          <w:rFonts w:ascii="Aptos" w:eastAsia="Calibri" w:hAnsi="Aptos" w:cs="Arial"/>
          <w:sz w:val="22"/>
          <w:szCs w:val="22"/>
          <w:lang w:eastAsia="en-US"/>
        </w:rPr>
      </w:pPr>
      <w:r w:rsidRPr="005C4C78">
        <w:rPr>
          <w:rStyle w:val="Nzevknihy"/>
          <w:rFonts w:ascii="Aptos" w:eastAsia="Calibri" w:hAnsi="Aptos" w:cs="Arial"/>
          <w:sz w:val="22"/>
          <w:szCs w:val="22"/>
          <w:lang w:eastAsia="en-US"/>
        </w:rPr>
        <w:t>ODMĚNA A PLATBA</w:t>
      </w:r>
    </w:p>
    <w:p w14:paraId="131376B4" w14:textId="57DE588F" w:rsidR="00530D3E" w:rsidRPr="00530D3E" w:rsidRDefault="00530D3E" w:rsidP="004D0CED">
      <w:pPr>
        <w:pStyle w:val="Zkladntext21"/>
        <w:numPr>
          <w:ilvl w:val="0"/>
          <w:numId w:val="66"/>
        </w:numPr>
        <w:spacing w:after="60" w:line="276" w:lineRule="auto"/>
        <w:ind w:left="567" w:hanging="567"/>
        <w:jc w:val="both"/>
        <w:rPr>
          <w:rFonts w:ascii="Aptos" w:hAnsi="Aptos" w:cs="Arial"/>
          <w:sz w:val="22"/>
          <w:szCs w:val="22"/>
          <w:lang w:eastAsia="en-US"/>
        </w:rPr>
      </w:pPr>
      <w:r w:rsidRPr="00530D3E">
        <w:rPr>
          <w:rFonts w:ascii="Aptos" w:hAnsi="Aptos" w:cs="Arial"/>
          <w:sz w:val="22"/>
          <w:szCs w:val="22"/>
          <w:lang w:eastAsia="en-US"/>
        </w:rPr>
        <w:t>Podmínky pro vyplácení odměny</w:t>
      </w:r>
    </w:p>
    <w:p w14:paraId="0D7882B6" w14:textId="1C0F53ED" w:rsidR="005C4C78" w:rsidRDefault="005C4C78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Arial"/>
          <w:b/>
          <w:sz w:val="22"/>
          <w:szCs w:val="22"/>
          <w:lang w:eastAsia="en-US"/>
        </w:rPr>
      </w:pPr>
      <w:r w:rsidRPr="005C4C78">
        <w:rPr>
          <w:rFonts w:ascii="Aptos" w:hAnsi="Aptos" w:cs="Arial"/>
          <w:sz w:val="22"/>
          <w:szCs w:val="22"/>
          <w:lang w:eastAsia="en-US"/>
        </w:rPr>
        <w:t>Za poskytování Služeb náleží Konzultantovi</w:t>
      </w:r>
      <w:r w:rsidRPr="005C4C78">
        <w:rPr>
          <w:rFonts w:ascii="Aptos" w:hAnsi="Aptos" w:cs="Arial"/>
          <w:sz w:val="22"/>
          <w:szCs w:val="22"/>
          <w:vertAlign w:val="superscript"/>
          <w:lang w:eastAsia="en-US"/>
        </w:rPr>
        <w:footnoteReference w:id="1"/>
      </w:r>
      <w:r w:rsidRPr="005C4C78">
        <w:rPr>
          <w:rFonts w:ascii="Aptos" w:hAnsi="Aptos" w:cs="Arial"/>
          <w:sz w:val="22"/>
          <w:szCs w:val="22"/>
          <w:lang w:eastAsia="en-US"/>
        </w:rPr>
        <w:t xml:space="preserve"> odměna do maximální výše Přijaté smluvní částky, která může být navýšena pouze postupem dle Smlouvy. Odměna bude hrazena v českých korunách</w:t>
      </w:r>
      <w:r>
        <w:rPr>
          <w:rFonts w:ascii="Aptos" w:hAnsi="Aptos" w:cs="Arial"/>
          <w:b/>
          <w:sz w:val="22"/>
          <w:szCs w:val="22"/>
          <w:lang w:eastAsia="en-US"/>
        </w:rPr>
        <w:t>.</w:t>
      </w:r>
    </w:p>
    <w:p w14:paraId="26598EDC" w14:textId="1096E967" w:rsidR="00EF323E" w:rsidRPr="005C4C78" w:rsidRDefault="005C4C78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Arial"/>
          <w:b/>
          <w:sz w:val="22"/>
          <w:szCs w:val="22"/>
          <w:lang w:eastAsia="en-US"/>
        </w:rPr>
      </w:pPr>
      <w:r w:rsidRPr="005C4C78">
        <w:rPr>
          <w:rFonts w:ascii="Aptos" w:hAnsi="Aptos" w:cs="Arial"/>
          <w:sz w:val="22"/>
          <w:szCs w:val="22"/>
          <w:lang w:eastAsia="en-US"/>
        </w:rPr>
        <w:t>Přijatá smluvní částka byla pro účely této Přílohy 3 rozčleněna dle níže uvedené tabulky</w:t>
      </w:r>
      <w:r w:rsidRPr="005C4C78">
        <w:rPr>
          <w:rFonts w:ascii="Aptos" w:hAnsi="Aptos" w:cs="Arial"/>
          <w:sz w:val="22"/>
          <w:szCs w:val="22"/>
          <w:vertAlign w:val="superscript"/>
          <w:lang w:eastAsia="en-US"/>
        </w:rPr>
        <w:footnoteReference w:id="2"/>
      </w:r>
      <w:r w:rsidR="00523978" w:rsidRPr="005C4C78">
        <w:rPr>
          <w:rFonts w:ascii="Aptos" w:hAnsi="Aptos" w:cs="Arial"/>
          <w:sz w:val="22"/>
          <w:szCs w:val="22"/>
          <w:lang w:eastAsia="en-US"/>
        </w:rPr>
        <w:t>:</w:t>
      </w:r>
    </w:p>
    <w:tbl>
      <w:tblPr>
        <w:tblStyle w:val="Mkatabulky"/>
        <w:tblW w:w="0" w:type="auto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868"/>
        <w:gridCol w:w="1874"/>
        <w:gridCol w:w="1874"/>
        <w:gridCol w:w="1874"/>
      </w:tblGrid>
      <w:tr w:rsidR="00530D3E" w:rsidRPr="005C4C78" w14:paraId="49410BCF" w14:textId="77777777" w:rsidTr="006C1610">
        <w:tc>
          <w:tcPr>
            <w:tcW w:w="2868" w:type="dxa"/>
            <w:tcBorders>
              <w:top w:val="single" w:sz="12" w:space="0" w:color="000000"/>
              <w:bottom w:val="double" w:sz="4" w:space="0" w:color="000000"/>
            </w:tcBorders>
          </w:tcPr>
          <w:p w14:paraId="54CA4AB0" w14:textId="77777777" w:rsidR="00530D3E" w:rsidRPr="005C4C78" w:rsidRDefault="00530D3E">
            <w:pPr>
              <w:spacing w:after="120" w:line="276" w:lineRule="auto"/>
              <w:jc w:val="both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874" w:type="dxa"/>
            <w:tcBorders>
              <w:top w:val="single" w:sz="12" w:space="0" w:color="000000"/>
              <w:bottom w:val="double" w:sz="4" w:space="0" w:color="000000"/>
            </w:tcBorders>
          </w:tcPr>
          <w:p w14:paraId="6FA027B0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b/>
                <w:sz w:val="22"/>
                <w:szCs w:val="22"/>
              </w:rPr>
              <w:t>v Kč bez DPH</w:t>
            </w:r>
          </w:p>
        </w:tc>
        <w:tc>
          <w:tcPr>
            <w:tcW w:w="1874" w:type="dxa"/>
            <w:tcBorders>
              <w:top w:val="single" w:sz="12" w:space="0" w:color="000000"/>
              <w:bottom w:val="double" w:sz="4" w:space="0" w:color="000000"/>
            </w:tcBorders>
          </w:tcPr>
          <w:p w14:paraId="5895B40D" w14:textId="5BD551E8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DPH</w:t>
            </w:r>
          </w:p>
        </w:tc>
        <w:tc>
          <w:tcPr>
            <w:tcW w:w="1874" w:type="dxa"/>
            <w:tcBorders>
              <w:top w:val="single" w:sz="12" w:space="0" w:color="000000"/>
              <w:bottom w:val="double" w:sz="4" w:space="0" w:color="000000"/>
            </w:tcBorders>
          </w:tcPr>
          <w:p w14:paraId="6E1F7E66" w14:textId="0A682665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b/>
                <w:sz w:val="22"/>
                <w:szCs w:val="22"/>
              </w:rPr>
              <w:t>v Kč vč. DPH</w:t>
            </w:r>
          </w:p>
        </w:tc>
      </w:tr>
      <w:tr w:rsidR="00530D3E" w:rsidRPr="005C4C78" w14:paraId="273AEED0" w14:textId="77777777" w:rsidTr="0045051D">
        <w:trPr>
          <w:trHeight w:val="645"/>
        </w:trPr>
        <w:tc>
          <w:tcPr>
            <w:tcW w:w="2868" w:type="dxa"/>
            <w:tcBorders>
              <w:top w:val="double" w:sz="4" w:space="0" w:color="000000"/>
            </w:tcBorders>
            <w:vAlign w:val="center"/>
          </w:tcPr>
          <w:p w14:paraId="5F6EEEAC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b/>
                <w:sz w:val="22"/>
                <w:szCs w:val="22"/>
              </w:rPr>
              <w:t>Přijatá smluvní částka</w:t>
            </w:r>
          </w:p>
        </w:tc>
        <w:tc>
          <w:tcPr>
            <w:tcW w:w="1874" w:type="dxa"/>
            <w:tcBorders>
              <w:top w:val="double" w:sz="4" w:space="0" w:color="000000"/>
            </w:tcBorders>
            <w:vAlign w:val="center"/>
          </w:tcPr>
          <w:p w14:paraId="3DC71A98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tcBorders>
              <w:top w:val="double" w:sz="4" w:space="0" w:color="000000"/>
            </w:tcBorders>
            <w:vAlign w:val="center"/>
          </w:tcPr>
          <w:p w14:paraId="02EAE276" w14:textId="712680CC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tcBorders>
              <w:top w:val="double" w:sz="4" w:space="0" w:color="000000"/>
            </w:tcBorders>
            <w:vAlign w:val="center"/>
          </w:tcPr>
          <w:p w14:paraId="1A541875" w14:textId="02293BE1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</w:tr>
      <w:tr w:rsidR="00530D3E" w:rsidRPr="005C4C78" w14:paraId="1B256F28" w14:textId="77777777" w:rsidTr="0045051D">
        <w:trPr>
          <w:trHeight w:val="2039"/>
        </w:trPr>
        <w:tc>
          <w:tcPr>
            <w:tcW w:w="2868" w:type="dxa"/>
            <w:vAlign w:val="center"/>
          </w:tcPr>
          <w:p w14:paraId="2D6200F1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5C4C78">
              <w:rPr>
                <w:rFonts w:ascii="Aptos" w:hAnsi="Aptos" w:cs="Arial"/>
                <w:bCs/>
                <w:sz w:val="22"/>
                <w:szCs w:val="22"/>
              </w:rPr>
              <w:t xml:space="preserve">Nabídková cena za plnění předmětu veřejné zakázky </w:t>
            </w:r>
          </w:p>
          <w:p w14:paraId="19D50818" w14:textId="1EB025A6" w:rsidR="00530D3E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- </w:t>
            </w:r>
            <w:r w:rsidRPr="005C4C78">
              <w:rPr>
                <w:rFonts w:ascii="Aptos" w:hAnsi="Aptos" w:cs="Arial"/>
                <w:b/>
                <w:sz w:val="22"/>
                <w:szCs w:val="22"/>
              </w:rPr>
              <w:t>Přípravná/projektová fáze</w:t>
            </w:r>
          </w:p>
          <w:p w14:paraId="1AE85EC8" w14:textId="4BCEBDA6" w:rsidR="009947AD" w:rsidRPr="003C1408" w:rsidRDefault="009947AD">
            <w:pPr>
              <w:spacing w:before="120" w:after="120" w:line="276" w:lineRule="auto"/>
              <w:jc w:val="center"/>
              <w:rPr>
                <w:rFonts w:ascii="Aptos" w:hAnsi="Aptos" w:cs="Arial"/>
                <w:bCs/>
                <w:i/>
                <w:iCs/>
                <w:sz w:val="22"/>
                <w:szCs w:val="22"/>
              </w:rPr>
            </w:pPr>
            <w:r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Předpokládaná doba trvání </w:t>
            </w:r>
            <w:r w:rsidR="00E900BD"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–</w:t>
            </w:r>
            <w:r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CB68A1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14</w:t>
            </w:r>
            <w:r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 měsíců</w:t>
            </w:r>
          </w:p>
        </w:tc>
        <w:tc>
          <w:tcPr>
            <w:tcW w:w="1874" w:type="dxa"/>
            <w:vAlign w:val="center"/>
          </w:tcPr>
          <w:p w14:paraId="5F88E17E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vAlign w:val="center"/>
          </w:tcPr>
          <w:p w14:paraId="479F1407" w14:textId="6D27FD7B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vAlign w:val="center"/>
          </w:tcPr>
          <w:p w14:paraId="213F7984" w14:textId="07FE736F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</w:tr>
      <w:tr w:rsidR="00530D3E" w:rsidRPr="005C4C78" w14:paraId="0C188089" w14:textId="77777777" w:rsidTr="0045051D">
        <w:trPr>
          <w:trHeight w:val="2101"/>
        </w:trPr>
        <w:tc>
          <w:tcPr>
            <w:tcW w:w="2868" w:type="dxa"/>
            <w:vAlign w:val="center"/>
          </w:tcPr>
          <w:p w14:paraId="7B75C27A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5C4C78">
              <w:rPr>
                <w:rFonts w:ascii="Aptos" w:hAnsi="Aptos" w:cs="Arial"/>
                <w:bCs/>
                <w:sz w:val="22"/>
                <w:szCs w:val="22"/>
              </w:rPr>
              <w:t xml:space="preserve">Nabídková cena za plnění předmětu veřejné zakázky </w:t>
            </w:r>
          </w:p>
          <w:p w14:paraId="1F1202E2" w14:textId="77777777" w:rsidR="00530D3E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5C4C78">
              <w:rPr>
                <w:rFonts w:ascii="Aptos" w:hAnsi="Aptos" w:cs="Arial"/>
                <w:b/>
                <w:sz w:val="22"/>
                <w:szCs w:val="22"/>
              </w:rPr>
              <w:t>-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5C4C78">
              <w:rPr>
                <w:rFonts w:ascii="Aptos" w:hAnsi="Aptos" w:cs="Arial"/>
                <w:b/>
                <w:sz w:val="22"/>
                <w:szCs w:val="22"/>
              </w:rPr>
              <w:t>Fáze výkonu činnosti Správce stavby</w:t>
            </w:r>
          </w:p>
          <w:p w14:paraId="3CC7D9B1" w14:textId="20EDBFC5" w:rsidR="009947AD" w:rsidRPr="005C4C78" w:rsidRDefault="009947AD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9947AD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Předpokládaná doba trvání </w:t>
            </w:r>
            <w:r w:rsidR="00E900BD"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–</w:t>
            </w:r>
            <w:r w:rsidRPr="009947AD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24</w:t>
            </w:r>
            <w:r w:rsidRPr="009947AD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 měsíců</w:t>
            </w:r>
          </w:p>
        </w:tc>
        <w:tc>
          <w:tcPr>
            <w:tcW w:w="1874" w:type="dxa"/>
            <w:vAlign w:val="center"/>
          </w:tcPr>
          <w:p w14:paraId="59F7379C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vAlign w:val="center"/>
          </w:tcPr>
          <w:p w14:paraId="1AE5E4FB" w14:textId="32343CC3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vAlign w:val="center"/>
          </w:tcPr>
          <w:p w14:paraId="7C1D537B" w14:textId="3CD0374A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</w:tr>
      <w:tr w:rsidR="00530D3E" w:rsidRPr="005C4C78" w14:paraId="605F1C38" w14:textId="77777777" w:rsidTr="006C1610">
        <w:tc>
          <w:tcPr>
            <w:tcW w:w="2868" w:type="dxa"/>
            <w:vAlign w:val="center"/>
          </w:tcPr>
          <w:p w14:paraId="762CAEF8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5C4C78">
              <w:rPr>
                <w:rFonts w:ascii="Aptos" w:hAnsi="Aptos" w:cs="Arial"/>
                <w:bCs/>
                <w:sz w:val="22"/>
                <w:szCs w:val="22"/>
              </w:rPr>
              <w:t xml:space="preserve">Nabídková cena za plnění předmětu veřejné zakázky </w:t>
            </w:r>
          </w:p>
          <w:p w14:paraId="6FE4CFDF" w14:textId="77777777" w:rsidR="00530D3E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5C4C78">
              <w:rPr>
                <w:rFonts w:ascii="Aptos" w:hAnsi="Aptos" w:cs="Arial"/>
                <w:b/>
                <w:sz w:val="22"/>
                <w:szCs w:val="22"/>
              </w:rPr>
              <w:t>- Fáze poskytování služeb v záruční době Díla</w:t>
            </w:r>
          </w:p>
          <w:p w14:paraId="14E77E6F" w14:textId="476CB22F" w:rsidR="009947AD" w:rsidRPr="003C1408" w:rsidRDefault="009947AD" w:rsidP="0045051D">
            <w:pPr>
              <w:spacing w:line="276" w:lineRule="auto"/>
              <w:jc w:val="center"/>
              <w:rPr>
                <w:rFonts w:ascii="Aptos" w:hAnsi="Aptos" w:cs="Arial"/>
                <w:bCs/>
                <w:i/>
                <w:iCs/>
                <w:sz w:val="22"/>
                <w:szCs w:val="22"/>
              </w:rPr>
            </w:pPr>
            <w:r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Předpoklad – </w:t>
            </w:r>
            <w:r w:rsidR="009F60C6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300</w:t>
            </w:r>
            <w:r w:rsidR="009F60C6"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3C1408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hodin</w:t>
            </w:r>
            <w:r w:rsidR="00E95B10">
              <w:rPr>
                <w:rStyle w:val="Znakapoznpodarou"/>
                <w:rFonts w:ascii="Aptos" w:hAnsi="Aptos" w:cs="Arial"/>
                <w:bCs/>
                <w:i/>
                <w:iCs/>
                <w:sz w:val="22"/>
                <w:szCs w:val="22"/>
              </w:rPr>
              <w:footnoteReference w:id="3"/>
            </w:r>
          </w:p>
        </w:tc>
        <w:tc>
          <w:tcPr>
            <w:tcW w:w="1874" w:type="dxa"/>
            <w:vAlign w:val="center"/>
          </w:tcPr>
          <w:p w14:paraId="0FEA1F1A" w14:textId="77777777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vAlign w:val="center"/>
          </w:tcPr>
          <w:p w14:paraId="6AA7FBF7" w14:textId="190BE008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  <w:tc>
          <w:tcPr>
            <w:tcW w:w="1874" w:type="dxa"/>
            <w:vAlign w:val="center"/>
          </w:tcPr>
          <w:p w14:paraId="23B7E1D3" w14:textId="008E3586" w:rsidR="00530D3E" w:rsidRPr="005C4C78" w:rsidRDefault="00530D3E">
            <w:pPr>
              <w:spacing w:before="120" w:after="120" w:line="276" w:lineRule="auto"/>
              <w:jc w:val="center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5C4C78">
              <w:rPr>
                <w:rFonts w:ascii="Aptos" w:hAnsi="Aptos" w:cs="Arial"/>
                <w:sz w:val="22"/>
                <w:szCs w:val="22"/>
              </w:rPr>
              <w:t>[</w:t>
            </w:r>
            <w:r w:rsidRPr="005C4C78">
              <w:rPr>
                <w:rFonts w:ascii="Aptos" w:hAnsi="Aptos" w:cs="Arial"/>
                <w:sz w:val="22"/>
                <w:szCs w:val="22"/>
                <w:highlight w:val="yellow"/>
              </w:rPr>
              <w:t>doplní dodavatel</w:t>
            </w:r>
            <w:r w:rsidRPr="005C4C78">
              <w:rPr>
                <w:rFonts w:ascii="Aptos" w:hAnsi="Aptos" w:cs="Arial"/>
                <w:sz w:val="22"/>
                <w:szCs w:val="22"/>
              </w:rPr>
              <w:t>]</w:t>
            </w:r>
          </w:p>
        </w:tc>
      </w:tr>
    </w:tbl>
    <w:p w14:paraId="0C173622" w14:textId="798C4CD6" w:rsidR="009947AD" w:rsidRPr="00161303" w:rsidRDefault="009947AD">
      <w:pPr>
        <w:pStyle w:val="Odstavecseseznamem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lastRenderedPageBreak/>
        <w:t>Objednatel bude v</w:t>
      </w:r>
      <w:r>
        <w:rPr>
          <w:rFonts w:ascii="Aptos" w:hAnsi="Aptos" w:cs="Tahoma"/>
          <w:sz w:val="22"/>
          <w:szCs w:val="22"/>
        </w:rPr>
        <w:t> </w:t>
      </w:r>
      <w:r w:rsidRPr="00530D3E">
        <w:rPr>
          <w:rFonts w:ascii="Aptos" w:hAnsi="Aptos" w:cs="Tahoma"/>
          <w:sz w:val="22"/>
          <w:szCs w:val="22"/>
        </w:rPr>
        <w:t>rámci</w:t>
      </w:r>
      <w:r>
        <w:rPr>
          <w:rFonts w:ascii="Aptos" w:hAnsi="Aptos" w:cs="Tahoma"/>
          <w:sz w:val="22"/>
          <w:szCs w:val="22"/>
        </w:rPr>
        <w:t xml:space="preserve"> Přípravné/</w:t>
      </w:r>
      <w:r w:rsidRPr="006319E2">
        <w:rPr>
          <w:rFonts w:ascii="Aptos" w:hAnsi="Aptos" w:cs="Tahoma"/>
          <w:sz w:val="22"/>
          <w:szCs w:val="22"/>
        </w:rPr>
        <w:t>projektové fáze dle čl. I. písm. A. Přílohy 1 [</w:t>
      </w:r>
      <w:r w:rsidR="00B855AF" w:rsidRPr="006319E2">
        <w:rPr>
          <w:rFonts w:ascii="Aptos" w:hAnsi="Aptos" w:cs="Tahoma"/>
          <w:i/>
          <w:iCs/>
          <w:sz w:val="22"/>
          <w:szCs w:val="22"/>
        </w:rPr>
        <w:t>Rozsah služeb</w:t>
      </w:r>
      <w:r w:rsidRPr="006319E2">
        <w:rPr>
          <w:rFonts w:ascii="Aptos" w:hAnsi="Aptos" w:cs="Tahoma"/>
          <w:sz w:val="22"/>
          <w:szCs w:val="22"/>
        </w:rPr>
        <w:t xml:space="preserve">] a Fáze </w:t>
      </w:r>
      <w:r w:rsidRPr="006319E2">
        <w:rPr>
          <w:rFonts w:ascii="Aptos" w:hAnsi="Aptos" w:cs="Tahoma"/>
          <w:bCs/>
          <w:sz w:val="22"/>
          <w:szCs w:val="22"/>
        </w:rPr>
        <w:t xml:space="preserve">výkonu činnosti </w:t>
      </w:r>
      <w:r w:rsidRPr="006319E2">
        <w:rPr>
          <w:rFonts w:ascii="Aptos" w:hAnsi="Aptos" w:cs="Tahoma"/>
          <w:sz w:val="22"/>
          <w:szCs w:val="22"/>
        </w:rPr>
        <w:t>Správce stavby dle čl. I. písm. B. Přílohy</w:t>
      </w:r>
      <w:r>
        <w:rPr>
          <w:rFonts w:ascii="Aptos" w:hAnsi="Aptos" w:cs="Tahoma"/>
          <w:sz w:val="22"/>
          <w:szCs w:val="22"/>
        </w:rPr>
        <w:t> </w:t>
      </w:r>
      <w:r w:rsidRPr="00530D3E">
        <w:rPr>
          <w:rFonts w:ascii="Aptos" w:hAnsi="Aptos" w:cs="Tahoma"/>
          <w:sz w:val="22"/>
          <w:szCs w:val="22"/>
        </w:rPr>
        <w:t xml:space="preserve">1 </w:t>
      </w:r>
      <w:r w:rsidRPr="00161303">
        <w:rPr>
          <w:rFonts w:ascii="Aptos" w:hAnsi="Aptos" w:cs="Tahoma"/>
          <w:sz w:val="22"/>
          <w:szCs w:val="22"/>
        </w:rPr>
        <w:t>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>] Konzultantovi hradit odměnu za Služby průběžně dle měsíční paušální výše, která bude představovat 90 % částky uvedené Konzultantem v této Příloze 3 vydělenou předpokládaným počtem měsíců pro danou fázi poskytování Služeb. Zbývajících 10 % částky uvedené Konzultantem v této Příloze 3 v rámci Fáze výkonu činnosti Správce stavby bude Objednatelem Konzultantovi uhrazeno v rámci Přípravné/projektové fáze po nabytí právní moci rozhodnutí o povolení záměru pro realizaci Díla a v rámci Fáze výkonu činnosti Správce stavby po vydání Potvrzení o převzetí Zhotoviteli Díla. Pro vyloučení pochybností Strany uvádí, že výše měsíční paušální platby je stanovena jako odměna za poskytování Služeb v jednosměnném provozu.</w:t>
      </w:r>
      <w:r w:rsidRPr="00161303" w:rsidDel="00251F73">
        <w:rPr>
          <w:rStyle w:val="Znakapoznpodarou"/>
          <w:rFonts w:ascii="Aptos" w:hAnsi="Aptos" w:cs="Tahoma"/>
          <w:sz w:val="22"/>
          <w:szCs w:val="22"/>
        </w:rPr>
        <w:t xml:space="preserve"> </w:t>
      </w:r>
    </w:p>
    <w:p w14:paraId="5F41CADD" w14:textId="2A498C5B" w:rsidR="00CB68A1" w:rsidRPr="00161303" w:rsidRDefault="00CB68A1">
      <w:pPr>
        <w:pStyle w:val="Odstavecseseznamem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161303">
        <w:rPr>
          <w:rFonts w:ascii="Aptos" w:hAnsi="Aptos" w:cs="Tahoma"/>
          <w:sz w:val="22"/>
          <w:szCs w:val="22"/>
        </w:rPr>
        <w:t xml:space="preserve">V případě, že Přípravná/projektová fáze dle </w:t>
      </w:r>
      <w:r w:rsidRPr="004D0CED">
        <w:rPr>
          <w:rFonts w:ascii="Aptos" w:hAnsi="Aptos" w:cs="Tahoma"/>
          <w:sz w:val="22"/>
          <w:szCs w:val="22"/>
        </w:rPr>
        <w:t>čl.</w:t>
      </w:r>
      <w:r w:rsidRPr="00161303">
        <w:rPr>
          <w:rFonts w:ascii="Aptos" w:hAnsi="Aptos" w:cs="Tahoma"/>
          <w:sz w:val="22"/>
          <w:szCs w:val="22"/>
        </w:rPr>
        <w:t xml:space="preserve"> </w:t>
      </w:r>
      <w:r w:rsidRPr="004D0CED">
        <w:rPr>
          <w:rFonts w:ascii="Aptos" w:hAnsi="Aptos" w:cs="Tahoma"/>
          <w:sz w:val="22"/>
          <w:szCs w:val="22"/>
        </w:rPr>
        <w:t>I. písm. A.</w:t>
      </w:r>
      <w:r w:rsidRPr="00161303">
        <w:rPr>
          <w:rFonts w:ascii="Aptos" w:hAnsi="Aptos" w:cs="Tahoma"/>
          <w:sz w:val="22"/>
          <w:szCs w:val="22"/>
        </w:rPr>
        <w:t xml:space="preserve"> Přílohy 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 xml:space="preserve">] a Fáze </w:t>
      </w:r>
      <w:r w:rsidRPr="00161303">
        <w:rPr>
          <w:rFonts w:ascii="Aptos" w:hAnsi="Aptos" w:cs="Tahoma"/>
          <w:bCs/>
          <w:sz w:val="22"/>
          <w:szCs w:val="22"/>
        </w:rPr>
        <w:t xml:space="preserve">výkonu činnosti </w:t>
      </w:r>
      <w:r w:rsidRPr="00161303">
        <w:rPr>
          <w:rFonts w:ascii="Aptos" w:hAnsi="Aptos" w:cs="Tahoma"/>
          <w:sz w:val="22"/>
          <w:szCs w:val="22"/>
        </w:rPr>
        <w:t xml:space="preserve">Správce stavby dle </w:t>
      </w:r>
      <w:r w:rsidRPr="004D0CED">
        <w:rPr>
          <w:rFonts w:ascii="Aptos" w:hAnsi="Aptos" w:cs="Tahoma"/>
          <w:sz w:val="22"/>
          <w:szCs w:val="22"/>
        </w:rPr>
        <w:t>čl. I. písm. B.</w:t>
      </w:r>
      <w:r w:rsidRPr="00161303">
        <w:rPr>
          <w:rFonts w:ascii="Aptos" w:hAnsi="Aptos" w:cs="Tahoma"/>
          <w:sz w:val="22"/>
          <w:szCs w:val="22"/>
        </w:rPr>
        <w:t xml:space="preserve"> Přílohy 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 xml:space="preserve">] budou úspěšně dokončeny v kratší než Objednatelem předpokládané době, je Konzultant oprávněn </w:t>
      </w:r>
      <w:r w:rsidR="004C33D3" w:rsidRPr="00161303">
        <w:rPr>
          <w:rFonts w:ascii="Aptos" w:hAnsi="Aptos" w:cs="Tahoma"/>
          <w:sz w:val="22"/>
          <w:szCs w:val="22"/>
        </w:rPr>
        <w:t xml:space="preserve">ke zbývající odměně ve výši dosud nevyplacené částky v rámci dané fáze poskytování Služeb. </w:t>
      </w:r>
    </w:p>
    <w:p w14:paraId="71846524" w14:textId="30F45E51" w:rsidR="009947AD" w:rsidRPr="00161303" w:rsidRDefault="009947AD" w:rsidP="004D0CED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161303">
        <w:rPr>
          <w:rFonts w:ascii="Aptos" w:hAnsi="Aptos" w:cs="Tahoma"/>
          <w:sz w:val="22"/>
          <w:szCs w:val="22"/>
        </w:rPr>
        <w:t xml:space="preserve">V případě, že v rámci </w:t>
      </w:r>
      <w:r w:rsidR="00B806AD" w:rsidRPr="00161303">
        <w:rPr>
          <w:rFonts w:ascii="Aptos" w:hAnsi="Aptos" w:cs="Tahoma"/>
          <w:sz w:val="22"/>
          <w:szCs w:val="22"/>
        </w:rPr>
        <w:t xml:space="preserve">Přípravné/projektové fáze dle </w:t>
      </w:r>
      <w:r w:rsidR="00B806AD" w:rsidRPr="004D0CED">
        <w:rPr>
          <w:rFonts w:ascii="Aptos" w:hAnsi="Aptos" w:cs="Tahoma"/>
          <w:sz w:val="22"/>
          <w:szCs w:val="22"/>
        </w:rPr>
        <w:t>čl. I. písm. A.</w:t>
      </w:r>
      <w:r w:rsidR="00B806AD" w:rsidRPr="00161303">
        <w:rPr>
          <w:rFonts w:ascii="Aptos" w:hAnsi="Aptos" w:cs="Tahoma"/>
          <w:sz w:val="22"/>
          <w:szCs w:val="22"/>
        </w:rPr>
        <w:t xml:space="preserve"> Přílohy 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="00B806AD" w:rsidRPr="00161303">
        <w:rPr>
          <w:rFonts w:ascii="Aptos" w:hAnsi="Aptos" w:cs="Tahoma"/>
          <w:sz w:val="22"/>
          <w:szCs w:val="22"/>
        </w:rPr>
        <w:t xml:space="preserve">] a </w:t>
      </w:r>
      <w:r w:rsidRPr="00161303">
        <w:rPr>
          <w:rFonts w:ascii="Aptos" w:hAnsi="Aptos" w:cs="Tahoma"/>
          <w:sz w:val="22"/>
          <w:szCs w:val="22"/>
        </w:rPr>
        <w:t xml:space="preserve">Fáze výkonu činnosti Správce stavby dle </w:t>
      </w:r>
      <w:r w:rsidRPr="004D0CED">
        <w:rPr>
          <w:rFonts w:ascii="Aptos" w:hAnsi="Aptos" w:cs="Tahoma"/>
          <w:sz w:val="22"/>
          <w:szCs w:val="22"/>
        </w:rPr>
        <w:t>čl. I. písm. B.</w:t>
      </w:r>
      <w:r w:rsidRPr="00161303">
        <w:rPr>
          <w:rFonts w:ascii="Aptos" w:hAnsi="Aptos" w:cs="Tahoma"/>
          <w:sz w:val="22"/>
          <w:szCs w:val="22"/>
        </w:rPr>
        <w:t xml:space="preserve"> Přílohy 1 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>] nedojde k</w:t>
      </w:r>
      <w:r w:rsidR="00B806AD" w:rsidRPr="00161303">
        <w:rPr>
          <w:rFonts w:ascii="Aptos" w:hAnsi="Aptos" w:cs="Tahoma"/>
          <w:sz w:val="22"/>
          <w:szCs w:val="22"/>
        </w:rPr>
        <w:t xml:space="preserve"> nabytí právní moci rozhodnutí o povolení záměru pro realizaci Díla, resp. </w:t>
      </w:r>
      <w:r w:rsidRPr="00161303">
        <w:rPr>
          <w:rFonts w:ascii="Aptos" w:hAnsi="Aptos" w:cs="Tahoma"/>
          <w:sz w:val="22"/>
          <w:szCs w:val="22"/>
        </w:rPr>
        <w:t>dokončení Díla</w:t>
      </w:r>
      <w:r w:rsidR="00B806AD" w:rsidRPr="00161303">
        <w:rPr>
          <w:rFonts w:ascii="Aptos" w:hAnsi="Aptos" w:cs="Tahoma"/>
          <w:sz w:val="22"/>
          <w:szCs w:val="22"/>
        </w:rPr>
        <w:t>,</w:t>
      </w:r>
      <w:r w:rsidRPr="00161303">
        <w:rPr>
          <w:rFonts w:ascii="Aptos" w:hAnsi="Aptos" w:cs="Tahoma"/>
          <w:sz w:val="22"/>
          <w:szCs w:val="22"/>
        </w:rPr>
        <w:t xml:space="preserve"> </w:t>
      </w:r>
      <w:r w:rsidR="009F60C6">
        <w:rPr>
          <w:rFonts w:ascii="Aptos" w:hAnsi="Aptos" w:cs="Tahoma"/>
          <w:sz w:val="22"/>
          <w:szCs w:val="22"/>
        </w:rPr>
        <w:t xml:space="preserve">bez zavinění Konzultanta </w:t>
      </w:r>
      <w:r w:rsidRPr="00161303">
        <w:rPr>
          <w:rFonts w:ascii="Aptos" w:hAnsi="Aptos" w:cs="Tahoma"/>
          <w:sz w:val="22"/>
          <w:szCs w:val="22"/>
        </w:rPr>
        <w:t>v předpokládaném termínu, je Konzultant oprávněn nárokovat</w:t>
      </w:r>
      <w:r w:rsidR="0071228B" w:rsidRPr="00161303">
        <w:rPr>
          <w:rFonts w:ascii="Aptos" w:hAnsi="Aptos" w:cs="Tahoma"/>
          <w:sz w:val="22"/>
          <w:szCs w:val="22"/>
        </w:rPr>
        <w:t xml:space="preserve"> </w:t>
      </w:r>
      <w:r w:rsidR="009F60C6">
        <w:rPr>
          <w:rFonts w:ascii="Aptos" w:hAnsi="Aptos" w:cs="Tahoma"/>
          <w:sz w:val="22"/>
          <w:szCs w:val="22"/>
        </w:rPr>
        <w:t> 100 </w:t>
      </w:r>
      <w:r w:rsidR="0071228B" w:rsidRPr="00161303">
        <w:rPr>
          <w:rFonts w:ascii="Aptos" w:hAnsi="Aptos" w:cs="Tahoma"/>
          <w:sz w:val="22"/>
          <w:szCs w:val="22"/>
        </w:rPr>
        <w:t>%</w:t>
      </w:r>
      <w:r w:rsidRPr="00161303">
        <w:rPr>
          <w:rFonts w:ascii="Aptos" w:hAnsi="Aptos" w:cs="Tahoma"/>
          <w:sz w:val="22"/>
          <w:szCs w:val="22"/>
        </w:rPr>
        <w:t xml:space="preserve"> měsíční paušální platb</w:t>
      </w:r>
      <w:r w:rsidR="0071228B" w:rsidRPr="00161303">
        <w:rPr>
          <w:rFonts w:ascii="Aptos" w:hAnsi="Aptos" w:cs="Tahoma"/>
          <w:sz w:val="22"/>
          <w:szCs w:val="22"/>
        </w:rPr>
        <w:t>y</w:t>
      </w:r>
      <w:r w:rsidRPr="00161303">
        <w:rPr>
          <w:rFonts w:ascii="Aptos" w:hAnsi="Aptos" w:cs="Tahoma"/>
          <w:sz w:val="22"/>
          <w:szCs w:val="22"/>
        </w:rPr>
        <w:t xml:space="preserve"> za každý měsíc, o který bude Služby poskytovat nad rámec stanoveného předpokládaného počtu měsíců. V případě, že tyto Služby nebudou poskytovány po celý měsíc, je oprávněn nárokovat pouze alikvotní část této platby.</w:t>
      </w:r>
    </w:p>
    <w:p w14:paraId="7F2913C4" w14:textId="4D76FEEC" w:rsidR="009947AD" w:rsidRPr="00161303" w:rsidRDefault="004C33D3" w:rsidP="004D0CED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161303">
        <w:rPr>
          <w:rFonts w:ascii="Aptos" w:hAnsi="Aptos" w:cs="Tahoma"/>
          <w:sz w:val="22"/>
          <w:szCs w:val="22"/>
        </w:rPr>
        <w:t xml:space="preserve">Celková cena za poskytování služeb </w:t>
      </w:r>
      <w:r w:rsidR="00D3391A" w:rsidRPr="00161303">
        <w:rPr>
          <w:rFonts w:ascii="Aptos" w:hAnsi="Aptos" w:cs="Tahoma"/>
          <w:sz w:val="22"/>
          <w:szCs w:val="22"/>
        </w:rPr>
        <w:t xml:space="preserve">v Přípravné/projektové fázi dle </w:t>
      </w:r>
      <w:r w:rsidR="00D3391A" w:rsidRPr="004D0CED">
        <w:rPr>
          <w:rFonts w:ascii="Aptos" w:hAnsi="Aptos" w:cs="Tahoma"/>
          <w:sz w:val="22"/>
          <w:szCs w:val="22"/>
        </w:rPr>
        <w:t xml:space="preserve">čl. I. písm. A. </w:t>
      </w:r>
      <w:r w:rsidR="00D3391A" w:rsidRPr="00161303">
        <w:rPr>
          <w:rFonts w:ascii="Aptos" w:hAnsi="Aptos" w:cs="Tahoma"/>
          <w:sz w:val="22"/>
          <w:szCs w:val="22"/>
        </w:rPr>
        <w:t>Přílohy 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="00D3391A" w:rsidRPr="00161303">
        <w:rPr>
          <w:rFonts w:ascii="Aptos" w:hAnsi="Aptos" w:cs="Tahoma"/>
          <w:sz w:val="22"/>
          <w:szCs w:val="22"/>
        </w:rPr>
        <w:t xml:space="preserve">] </w:t>
      </w:r>
      <w:r w:rsidR="00837BEE" w:rsidRPr="00161303">
        <w:rPr>
          <w:rFonts w:ascii="Aptos" w:hAnsi="Aptos" w:cs="Tahoma"/>
          <w:sz w:val="22"/>
          <w:szCs w:val="22"/>
        </w:rPr>
        <w:t xml:space="preserve">a </w:t>
      </w:r>
      <w:r w:rsidRPr="00161303">
        <w:rPr>
          <w:rFonts w:ascii="Aptos" w:hAnsi="Aptos" w:cs="Tahoma"/>
          <w:sz w:val="22"/>
          <w:szCs w:val="22"/>
        </w:rPr>
        <w:t xml:space="preserve">ve Fázi výkonu činnosti Správce stavby dle </w:t>
      </w:r>
      <w:r w:rsidRPr="004D0CED">
        <w:rPr>
          <w:rFonts w:ascii="Aptos" w:hAnsi="Aptos" w:cs="Tahoma"/>
          <w:sz w:val="22"/>
          <w:szCs w:val="22"/>
        </w:rPr>
        <w:t xml:space="preserve">čl. I. písm. B. </w:t>
      </w:r>
      <w:r w:rsidRPr="00161303">
        <w:rPr>
          <w:rFonts w:ascii="Aptos" w:hAnsi="Aptos" w:cs="Tahoma"/>
          <w:sz w:val="22"/>
          <w:szCs w:val="22"/>
        </w:rPr>
        <w:t>Přílohy 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 xml:space="preserve">] představují součet paušálních měsíčních plateb pro danou </w:t>
      </w:r>
      <w:r w:rsidR="00D3391A" w:rsidRPr="00161303">
        <w:rPr>
          <w:rFonts w:ascii="Aptos" w:hAnsi="Aptos" w:cs="Tahoma"/>
          <w:sz w:val="22"/>
          <w:szCs w:val="22"/>
        </w:rPr>
        <w:t>fázi</w:t>
      </w:r>
      <w:r w:rsidRPr="00161303">
        <w:rPr>
          <w:rFonts w:ascii="Aptos" w:hAnsi="Aptos" w:cs="Tahoma"/>
          <w:sz w:val="22"/>
          <w:szCs w:val="22"/>
        </w:rPr>
        <w:t xml:space="preserve"> dle předpokládaného počtu měsíců poskytování Služeb v těchto fázích. </w:t>
      </w:r>
      <w:r w:rsidR="009947AD" w:rsidRPr="00161303">
        <w:rPr>
          <w:rFonts w:ascii="Aptos" w:hAnsi="Aptos" w:cs="Tahoma"/>
          <w:sz w:val="22"/>
          <w:szCs w:val="22"/>
        </w:rPr>
        <w:t>Celkov</w:t>
      </w:r>
      <w:r w:rsidRPr="00161303">
        <w:rPr>
          <w:rFonts w:ascii="Aptos" w:hAnsi="Aptos" w:cs="Tahoma"/>
          <w:sz w:val="22"/>
          <w:szCs w:val="22"/>
        </w:rPr>
        <w:t>á</w:t>
      </w:r>
      <w:r w:rsidR="009947AD" w:rsidRPr="00161303">
        <w:rPr>
          <w:rFonts w:ascii="Aptos" w:hAnsi="Aptos" w:cs="Tahoma"/>
          <w:sz w:val="22"/>
          <w:szCs w:val="22"/>
        </w:rPr>
        <w:t xml:space="preserve"> cen</w:t>
      </w:r>
      <w:r w:rsidRPr="00161303">
        <w:rPr>
          <w:rFonts w:ascii="Aptos" w:hAnsi="Aptos" w:cs="Tahoma"/>
          <w:sz w:val="22"/>
          <w:szCs w:val="22"/>
        </w:rPr>
        <w:t>a</w:t>
      </w:r>
      <w:r w:rsidR="009947AD" w:rsidRPr="00161303">
        <w:rPr>
          <w:rFonts w:ascii="Aptos" w:hAnsi="Aptos" w:cs="Tahoma"/>
          <w:sz w:val="22"/>
          <w:szCs w:val="22"/>
        </w:rPr>
        <w:t xml:space="preserve"> za poskytování služeb v</w:t>
      </w:r>
      <w:r w:rsidRPr="00161303">
        <w:rPr>
          <w:rFonts w:ascii="Aptos" w:hAnsi="Aptos" w:cs="Tahoma"/>
          <w:sz w:val="22"/>
          <w:szCs w:val="22"/>
        </w:rPr>
        <w:t>e</w:t>
      </w:r>
      <w:r w:rsidR="009947AD" w:rsidRPr="00161303">
        <w:rPr>
          <w:rFonts w:ascii="Aptos" w:hAnsi="Aptos" w:cs="Tahoma"/>
          <w:sz w:val="22"/>
          <w:szCs w:val="22"/>
        </w:rPr>
        <w:t> </w:t>
      </w:r>
      <w:r w:rsidRPr="00161303">
        <w:rPr>
          <w:rFonts w:ascii="Aptos" w:hAnsi="Aptos" w:cs="Tahoma"/>
          <w:sz w:val="22"/>
          <w:szCs w:val="22"/>
        </w:rPr>
        <w:t>Fázi</w:t>
      </w:r>
      <w:r w:rsidR="009947AD" w:rsidRPr="00161303">
        <w:rPr>
          <w:rFonts w:ascii="Aptos" w:hAnsi="Aptos" w:cs="Tahoma"/>
          <w:sz w:val="22"/>
          <w:szCs w:val="22"/>
        </w:rPr>
        <w:t xml:space="preserve"> poskytování služeb v záruční době Díla dle čl. </w:t>
      </w:r>
      <w:r w:rsidR="009947AD" w:rsidRPr="004D0CED">
        <w:rPr>
          <w:rFonts w:ascii="Aptos" w:hAnsi="Aptos" w:cs="Tahoma"/>
          <w:sz w:val="22"/>
          <w:szCs w:val="22"/>
        </w:rPr>
        <w:t>I. písm. C.</w:t>
      </w:r>
      <w:r w:rsidR="009947AD" w:rsidRPr="00161303">
        <w:rPr>
          <w:rFonts w:ascii="Aptos" w:hAnsi="Aptos" w:cs="Tahoma"/>
          <w:sz w:val="22"/>
          <w:szCs w:val="22"/>
        </w:rPr>
        <w:t xml:space="preserve"> Přílohy</w:t>
      </w:r>
      <w:r w:rsidR="00FB01A5" w:rsidRPr="00161303">
        <w:rPr>
          <w:rFonts w:ascii="Aptos" w:hAnsi="Aptos" w:cs="Tahoma"/>
          <w:sz w:val="22"/>
          <w:szCs w:val="22"/>
        </w:rPr>
        <w:t> </w:t>
      </w:r>
      <w:r w:rsidR="009947AD" w:rsidRPr="00161303">
        <w:rPr>
          <w:rFonts w:ascii="Aptos" w:hAnsi="Aptos" w:cs="Tahoma"/>
          <w:sz w:val="22"/>
          <w:szCs w:val="22"/>
        </w:rPr>
        <w:t>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="009947AD" w:rsidRPr="00161303">
        <w:rPr>
          <w:rFonts w:ascii="Aptos" w:hAnsi="Aptos" w:cs="Tahoma"/>
          <w:sz w:val="22"/>
          <w:szCs w:val="22"/>
        </w:rPr>
        <w:t xml:space="preserve">] uvedené v odst. 2 výše </w:t>
      </w:r>
      <w:r w:rsidRPr="00161303">
        <w:rPr>
          <w:rFonts w:ascii="Aptos" w:hAnsi="Aptos" w:cs="Tahoma"/>
          <w:sz w:val="22"/>
          <w:szCs w:val="22"/>
        </w:rPr>
        <w:t>je</w:t>
      </w:r>
      <w:r w:rsidR="009947AD" w:rsidRPr="00161303">
        <w:rPr>
          <w:rFonts w:ascii="Aptos" w:hAnsi="Aptos" w:cs="Tahoma"/>
          <w:sz w:val="22"/>
          <w:szCs w:val="22"/>
        </w:rPr>
        <w:t xml:space="preserve"> součtem předpokládaného počtu hodin u jednotlivých členů týmu Správce stavby</w:t>
      </w:r>
      <w:r w:rsidR="004F33AD">
        <w:rPr>
          <w:rFonts w:ascii="Aptos" w:hAnsi="Aptos" w:cs="Tahoma"/>
          <w:sz w:val="22"/>
          <w:szCs w:val="22"/>
        </w:rPr>
        <w:t xml:space="preserve">, kteří budou dle </w:t>
      </w:r>
      <w:r w:rsidR="004F33AD" w:rsidRPr="009F60C6">
        <w:rPr>
          <w:rFonts w:ascii="Aptos" w:hAnsi="Aptos" w:cs="Tahoma"/>
          <w:sz w:val="22"/>
          <w:szCs w:val="22"/>
        </w:rPr>
        <w:t>Přílohy 1 [</w:t>
      </w:r>
      <w:r w:rsidR="002A171B" w:rsidRPr="002A171B">
        <w:rPr>
          <w:rFonts w:ascii="Aptos" w:hAnsi="Aptos" w:cs="Tahoma"/>
          <w:i/>
          <w:iCs/>
          <w:sz w:val="22"/>
          <w:szCs w:val="22"/>
        </w:rPr>
        <w:t>Rozsah služeb</w:t>
      </w:r>
      <w:r w:rsidR="004F33AD" w:rsidRPr="009F60C6">
        <w:rPr>
          <w:rFonts w:ascii="Aptos" w:hAnsi="Aptos" w:cs="Tahoma"/>
          <w:sz w:val="22"/>
          <w:szCs w:val="22"/>
        </w:rPr>
        <w:t>]</w:t>
      </w:r>
      <w:r w:rsidR="004F33AD">
        <w:rPr>
          <w:rFonts w:ascii="Aptos" w:hAnsi="Aptos" w:cs="Tahoma"/>
          <w:sz w:val="22"/>
          <w:szCs w:val="22"/>
        </w:rPr>
        <w:t xml:space="preserve"> v </w:t>
      </w:r>
      <w:r w:rsidR="004F33AD" w:rsidRPr="009F60C6">
        <w:rPr>
          <w:rFonts w:ascii="Aptos" w:hAnsi="Aptos" w:cs="Tahoma"/>
          <w:sz w:val="22"/>
          <w:szCs w:val="22"/>
        </w:rPr>
        <w:t xml:space="preserve">týmu Správce stavby </w:t>
      </w:r>
      <w:r w:rsidR="004F33AD">
        <w:rPr>
          <w:rFonts w:ascii="Aptos" w:hAnsi="Aptos" w:cs="Tahoma"/>
          <w:sz w:val="22"/>
          <w:szCs w:val="22"/>
        </w:rPr>
        <w:t>trvale delegováni</w:t>
      </w:r>
      <w:r w:rsidR="004F33AD" w:rsidRPr="009F60C6">
        <w:rPr>
          <w:rFonts w:ascii="Aptos" w:hAnsi="Aptos" w:cs="Tahoma"/>
          <w:sz w:val="22"/>
          <w:szCs w:val="22"/>
        </w:rPr>
        <w:t xml:space="preserve"> </w:t>
      </w:r>
      <w:r w:rsidR="004F33AD">
        <w:rPr>
          <w:rFonts w:ascii="Aptos" w:hAnsi="Aptos" w:cs="Tahoma"/>
          <w:sz w:val="22"/>
          <w:szCs w:val="22"/>
        </w:rPr>
        <w:t>ve Fázi poskytování služeb v záruční době Díla,</w:t>
      </w:r>
      <w:r w:rsidR="009947AD" w:rsidRPr="00161303">
        <w:rPr>
          <w:rFonts w:ascii="Aptos" w:hAnsi="Aptos" w:cs="Tahoma"/>
          <w:sz w:val="22"/>
          <w:szCs w:val="22"/>
        </w:rPr>
        <w:t xml:space="preserve"> vynásobeného</w:t>
      </w:r>
      <w:r w:rsidR="004F33AD">
        <w:rPr>
          <w:rFonts w:ascii="Aptos" w:hAnsi="Aptos" w:cs="Tahoma"/>
          <w:sz w:val="22"/>
          <w:szCs w:val="22"/>
        </w:rPr>
        <w:t xml:space="preserve"> jejich</w:t>
      </w:r>
      <w:r w:rsidR="009947AD" w:rsidRPr="00161303">
        <w:rPr>
          <w:rFonts w:ascii="Aptos" w:hAnsi="Aptos" w:cs="Tahoma"/>
          <w:sz w:val="22"/>
          <w:szCs w:val="22"/>
        </w:rPr>
        <w:t xml:space="preserve"> </w:t>
      </w:r>
      <w:r w:rsidRPr="00161303">
        <w:rPr>
          <w:rFonts w:ascii="Aptos" w:hAnsi="Aptos" w:cs="Tahoma"/>
          <w:sz w:val="22"/>
          <w:szCs w:val="22"/>
        </w:rPr>
        <w:t xml:space="preserve">průměrnou </w:t>
      </w:r>
      <w:r w:rsidR="009947AD" w:rsidRPr="00161303">
        <w:rPr>
          <w:rFonts w:ascii="Aptos" w:hAnsi="Aptos" w:cs="Tahoma"/>
          <w:sz w:val="22"/>
          <w:szCs w:val="22"/>
        </w:rPr>
        <w:t xml:space="preserve">hodinovou sazbou </w:t>
      </w:r>
      <w:r w:rsidRPr="00161303">
        <w:rPr>
          <w:rFonts w:ascii="Aptos" w:hAnsi="Aptos" w:cs="Tahoma"/>
          <w:sz w:val="22"/>
          <w:szCs w:val="22"/>
        </w:rPr>
        <w:t>členů</w:t>
      </w:r>
      <w:r w:rsidR="009947AD" w:rsidRPr="00161303">
        <w:rPr>
          <w:rFonts w:ascii="Aptos" w:hAnsi="Aptos" w:cs="Tahoma"/>
          <w:sz w:val="22"/>
          <w:szCs w:val="22"/>
        </w:rPr>
        <w:t xml:space="preserve"> týmu Správce stavby.</w:t>
      </w:r>
      <w:r w:rsidR="00DB425B">
        <w:rPr>
          <w:rStyle w:val="Znakapoznpodarou"/>
          <w:rFonts w:ascii="Aptos" w:hAnsi="Aptos" w:cs="Tahoma"/>
          <w:sz w:val="22"/>
          <w:szCs w:val="22"/>
        </w:rPr>
        <w:footnoteReference w:id="4"/>
      </w:r>
      <w:r w:rsidR="009947AD" w:rsidRPr="00161303">
        <w:rPr>
          <w:rFonts w:ascii="Aptos" w:hAnsi="Aptos" w:cs="Tahoma"/>
          <w:sz w:val="22"/>
          <w:szCs w:val="22"/>
        </w:rPr>
        <w:t xml:space="preserve"> </w:t>
      </w:r>
    </w:p>
    <w:p w14:paraId="70B51C97" w14:textId="32DACC41" w:rsidR="00530D3E" w:rsidRPr="00161303" w:rsidRDefault="00530D3E">
      <w:pPr>
        <w:pStyle w:val="Odstavecseseznamem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161303">
        <w:rPr>
          <w:rFonts w:ascii="Aptos" w:hAnsi="Aptos" w:cs="Tahoma"/>
          <w:sz w:val="22"/>
          <w:szCs w:val="22"/>
        </w:rPr>
        <w:t xml:space="preserve">Objednatel bude v rámci Fáze poskytování služeb v záruční době Díla dle </w:t>
      </w:r>
      <w:r w:rsidRPr="004D0CED">
        <w:rPr>
          <w:rFonts w:ascii="Aptos" w:hAnsi="Aptos" w:cs="Tahoma"/>
          <w:sz w:val="22"/>
          <w:szCs w:val="22"/>
        </w:rPr>
        <w:t>čl. I. písm. C.</w:t>
      </w:r>
      <w:r w:rsidRPr="00161303">
        <w:rPr>
          <w:rFonts w:ascii="Aptos" w:hAnsi="Aptos" w:cs="Tahoma"/>
          <w:sz w:val="22"/>
          <w:szCs w:val="22"/>
        </w:rPr>
        <w:t xml:space="preserve"> Přílohy 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 xml:space="preserve">] Konzultantovi hradit odměnu za Služby průběžně na základě skutečně poskytnutých </w:t>
      </w:r>
      <w:r w:rsidR="00FB01A5" w:rsidRPr="00161303">
        <w:rPr>
          <w:rFonts w:ascii="Aptos" w:hAnsi="Aptos" w:cs="Tahoma"/>
          <w:sz w:val="22"/>
          <w:szCs w:val="22"/>
        </w:rPr>
        <w:t>S</w:t>
      </w:r>
      <w:r w:rsidRPr="00161303">
        <w:rPr>
          <w:rFonts w:ascii="Aptos" w:hAnsi="Aptos" w:cs="Tahoma"/>
          <w:sz w:val="22"/>
          <w:szCs w:val="22"/>
        </w:rPr>
        <w:t xml:space="preserve">lužeb oceněných hodinovými sazbami jednotlivých členů týmu Správce stavby, které Konzultant uvedl v této Příloze 3. V případě, že Služby poskytnuté v rámci Fáze poskytování služeb v záruční době Díla dle </w:t>
      </w:r>
      <w:r w:rsidRPr="004D0CED">
        <w:rPr>
          <w:rFonts w:ascii="Aptos" w:hAnsi="Aptos" w:cs="Tahoma"/>
          <w:sz w:val="22"/>
          <w:szCs w:val="22"/>
        </w:rPr>
        <w:t>čl. I. písm. C</w:t>
      </w:r>
      <w:r w:rsidRPr="00161303">
        <w:rPr>
          <w:rFonts w:ascii="Aptos" w:hAnsi="Aptos" w:cs="Tahoma"/>
          <w:sz w:val="22"/>
          <w:szCs w:val="22"/>
        </w:rPr>
        <w:t>. Přílohy 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 xml:space="preserve">] byly poskytnuty v rozsahu necelých hodin, započítává se vždy každá započatá čtvrt </w:t>
      </w:r>
      <w:r w:rsidRPr="00161303">
        <w:rPr>
          <w:rFonts w:ascii="Aptos" w:hAnsi="Aptos" w:cs="Tahoma"/>
          <w:sz w:val="22"/>
          <w:szCs w:val="22"/>
        </w:rPr>
        <w:lastRenderedPageBreak/>
        <w:t xml:space="preserve">(¼) hodina poskytnutých Služeb. Za poskytnuté Služby </w:t>
      </w:r>
      <w:r w:rsidR="00B806AD" w:rsidRPr="00161303">
        <w:rPr>
          <w:rFonts w:ascii="Aptos" w:hAnsi="Aptos" w:cs="Tahoma"/>
          <w:sz w:val="22"/>
          <w:szCs w:val="22"/>
        </w:rPr>
        <w:t>ve Fázi</w:t>
      </w:r>
      <w:r w:rsidRPr="00161303">
        <w:rPr>
          <w:rFonts w:ascii="Aptos" w:hAnsi="Aptos" w:cs="Tahoma"/>
          <w:sz w:val="22"/>
          <w:szCs w:val="22"/>
        </w:rPr>
        <w:t xml:space="preserve"> poskytování služeb v záruční době Díla dle </w:t>
      </w:r>
      <w:r w:rsidRPr="004D0CED">
        <w:rPr>
          <w:rFonts w:ascii="Aptos" w:hAnsi="Aptos" w:cs="Tahoma"/>
          <w:sz w:val="22"/>
          <w:szCs w:val="22"/>
        </w:rPr>
        <w:t>čl. I. písm. C.</w:t>
      </w:r>
      <w:r w:rsidRPr="00161303">
        <w:rPr>
          <w:rFonts w:ascii="Aptos" w:hAnsi="Aptos" w:cs="Tahoma"/>
          <w:sz w:val="22"/>
          <w:szCs w:val="22"/>
        </w:rPr>
        <w:t xml:space="preserve"> Přílohy 1 [</w:t>
      </w:r>
      <w:r w:rsidR="00B855AF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>] v rozsahu necelých hodin přísluší Konzultantovi alikvotní část hodinové sazby.</w:t>
      </w:r>
    </w:p>
    <w:p w14:paraId="6F16BD65" w14:textId="4C2B0B3E" w:rsidR="00530D3E" w:rsidRPr="00530D3E" w:rsidRDefault="00530D3E" w:rsidP="004D0CED">
      <w:pPr>
        <w:pStyle w:val="Odstavecseseznamem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161303">
        <w:rPr>
          <w:rFonts w:ascii="Aptos" w:hAnsi="Aptos" w:cs="Tahoma"/>
          <w:sz w:val="22"/>
          <w:szCs w:val="22"/>
        </w:rPr>
        <w:t xml:space="preserve">V případě poskytnutí Služeb dle písm. A. odst. </w:t>
      </w:r>
      <w:r w:rsidR="004C33D3" w:rsidRPr="00161303">
        <w:rPr>
          <w:rFonts w:ascii="Aptos" w:hAnsi="Aptos" w:cs="Tahoma"/>
          <w:sz w:val="22"/>
          <w:szCs w:val="22"/>
        </w:rPr>
        <w:t>7</w:t>
      </w:r>
      <w:r w:rsidR="00B806AD" w:rsidRPr="00161303">
        <w:rPr>
          <w:rFonts w:ascii="Aptos" w:hAnsi="Aptos" w:cs="Tahoma"/>
          <w:sz w:val="22"/>
          <w:szCs w:val="22"/>
        </w:rPr>
        <w:t xml:space="preserve"> </w:t>
      </w:r>
      <w:r w:rsidRPr="00161303">
        <w:rPr>
          <w:rFonts w:ascii="Aptos" w:hAnsi="Aptos" w:cs="Tahoma"/>
          <w:sz w:val="22"/>
          <w:szCs w:val="22"/>
        </w:rPr>
        <w:t>této Přílohy 3 je Konzultant povinen vést podrobnou evidenci poskytnutých Služeb s uvedením konkrétně prováděných činností</w:t>
      </w:r>
      <w:r w:rsidR="00251F73" w:rsidRPr="00161303">
        <w:rPr>
          <w:rFonts w:ascii="Aptos" w:hAnsi="Aptos" w:cs="Tahoma"/>
          <w:sz w:val="22"/>
          <w:szCs w:val="22"/>
        </w:rPr>
        <w:t xml:space="preserve"> a časové náročnosti</w:t>
      </w:r>
      <w:r w:rsidR="00CF4E4D" w:rsidRPr="00161303">
        <w:rPr>
          <w:rFonts w:ascii="Aptos" w:hAnsi="Aptos" w:cs="Tahoma"/>
          <w:sz w:val="22"/>
          <w:szCs w:val="22"/>
        </w:rPr>
        <w:t xml:space="preserve"> (vykazovací jednotkou je 15 min.)</w:t>
      </w:r>
      <w:r w:rsidRPr="00161303">
        <w:rPr>
          <w:rFonts w:ascii="Aptos" w:hAnsi="Aptos" w:cs="Tahoma"/>
          <w:sz w:val="22"/>
          <w:szCs w:val="22"/>
        </w:rPr>
        <w:t>, přičemž takto poskytnuté Služby budou následně oceněny hodinovými sazbami jednotlivých členů týmu Správce stavby, které Konzultant uvedl v této Příloze 3.</w:t>
      </w:r>
    </w:p>
    <w:p w14:paraId="566CC54D" w14:textId="77FEF53A" w:rsidR="00530D3E" w:rsidRPr="00161303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161303">
        <w:rPr>
          <w:rFonts w:ascii="Aptos" w:hAnsi="Aptos" w:cs="Tahoma"/>
          <w:sz w:val="22"/>
          <w:szCs w:val="22"/>
        </w:rPr>
        <w:t xml:space="preserve">V případě poskytování Služeb dle písm. A. odst. </w:t>
      </w:r>
      <w:r w:rsidR="004C33D3" w:rsidRPr="00161303">
        <w:rPr>
          <w:rFonts w:ascii="Aptos" w:hAnsi="Aptos" w:cs="Tahoma"/>
          <w:sz w:val="22"/>
          <w:szCs w:val="22"/>
        </w:rPr>
        <w:t>7</w:t>
      </w:r>
      <w:r w:rsidR="00B806AD" w:rsidRPr="00161303">
        <w:rPr>
          <w:rFonts w:ascii="Aptos" w:hAnsi="Aptos" w:cs="Tahoma"/>
          <w:sz w:val="22"/>
          <w:szCs w:val="22"/>
        </w:rPr>
        <w:t xml:space="preserve"> </w:t>
      </w:r>
      <w:r w:rsidRPr="00161303">
        <w:rPr>
          <w:rFonts w:ascii="Aptos" w:hAnsi="Aptos" w:cs="Tahoma"/>
          <w:sz w:val="22"/>
          <w:szCs w:val="22"/>
        </w:rPr>
        <w:t>této Přílohy 3 prostřednictvím osob na pozicích, jejichž hodinová sazba není uvedena v této Příloze 3, bude hodinová sazba stanovena jako aritmetický průměr hodinových sazeb jednotlivých členů týmu Správce stavby uvedených v odst. 18.</w:t>
      </w:r>
      <w:r w:rsidR="00141B8D" w:rsidRPr="00161303">
        <w:rPr>
          <w:rFonts w:ascii="Aptos" w:hAnsi="Aptos" w:cs="Tahoma"/>
          <w:sz w:val="22"/>
          <w:szCs w:val="22"/>
        </w:rPr>
        <w:t>3</w:t>
      </w:r>
      <w:r w:rsidR="006C3863" w:rsidRPr="00161303">
        <w:rPr>
          <w:rFonts w:ascii="Aptos" w:hAnsi="Aptos" w:cs="Tahoma"/>
          <w:sz w:val="22"/>
          <w:szCs w:val="22"/>
        </w:rPr>
        <w:t>.</w:t>
      </w:r>
      <w:r w:rsidR="00141B8D" w:rsidRPr="00161303">
        <w:rPr>
          <w:rFonts w:ascii="Aptos" w:hAnsi="Aptos" w:cs="Tahoma"/>
          <w:sz w:val="22"/>
          <w:szCs w:val="22"/>
        </w:rPr>
        <w:t>6</w:t>
      </w:r>
      <w:r w:rsidRPr="00161303">
        <w:rPr>
          <w:rFonts w:ascii="Aptos" w:hAnsi="Aptos" w:cs="Tahoma"/>
          <w:sz w:val="22"/>
          <w:szCs w:val="22"/>
        </w:rPr>
        <w:t xml:space="preserve">, písm. </w:t>
      </w:r>
      <w:r w:rsidR="006C3863" w:rsidRPr="00161303">
        <w:rPr>
          <w:rFonts w:ascii="Aptos" w:hAnsi="Aptos" w:cs="Tahoma"/>
          <w:sz w:val="22"/>
          <w:szCs w:val="22"/>
        </w:rPr>
        <w:t>B.</w:t>
      </w:r>
      <w:r w:rsidRPr="00161303">
        <w:rPr>
          <w:rFonts w:ascii="Aptos" w:hAnsi="Aptos" w:cs="Tahoma"/>
          <w:sz w:val="22"/>
          <w:szCs w:val="22"/>
        </w:rPr>
        <w:t xml:space="preserve"> až </w:t>
      </w:r>
      <w:r w:rsidR="00A601B2" w:rsidRPr="00161303">
        <w:rPr>
          <w:rFonts w:ascii="Aptos" w:hAnsi="Aptos" w:cs="Tahoma"/>
          <w:sz w:val="22"/>
          <w:szCs w:val="22"/>
        </w:rPr>
        <w:t>L</w:t>
      </w:r>
      <w:r w:rsidRPr="00161303">
        <w:rPr>
          <w:rFonts w:ascii="Aptos" w:hAnsi="Aptos" w:cs="Tahoma"/>
          <w:sz w:val="22"/>
          <w:szCs w:val="22"/>
        </w:rPr>
        <w:t xml:space="preserve">) Zadávací dokumentace, tedy členů týmu Správce stavby uvedených v </w:t>
      </w:r>
      <w:r w:rsidRPr="004D0CED">
        <w:rPr>
          <w:rFonts w:ascii="Aptos" w:hAnsi="Aptos" w:cs="Tahoma"/>
          <w:sz w:val="22"/>
          <w:szCs w:val="22"/>
        </w:rPr>
        <w:t xml:space="preserve">čl. II., Pod-článek 2. až </w:t>
      </w:r>
      <w:r w:rsidR="00A601B2" w:rsidRPr="004D0CED">
        <w:rPr>
          <w:rFonts w:ascii="Aptos" w:hAnsi="Aptos" w:cs="Tahoma"/>
          <w:sz w:val="22"/>
          <w:szCs w:val="22"/>
        </w:rPr>
        <w:t>12</w:t>
      </w:r>
      <w:r w:rsidRPr="004D0CED">
        <w:rPr>
          <w:rFonts w:ascii="Aptos" w:hAnsi="Aptos" w:cs="Tahoma"/>
          <w:sz w:val="22"/>
          <w:szCs w:val="22"/>
        </w:rPr>
        <w:t>.</w:t>
      </w:r>
      <w:r w:rsidRPr="00161303">
        <w:rPr>
          <w:rFonts w:ascii="Aptos" w:hAnsi="Aptos" w:cs="Tahoma"/>
          <w:sz w:val="22"/>
          <w:szCs w:val="22"/>
        </w:rPr>
        <w:t xml:space="preserve"> Přílohy 1 [</w:t>
      </w:r>
      <w:r w:rsidRPr="00161303">
        <w:rPr>
          <w:rFonts w:ascii="Aptos" w:hAnsi="Aptos" w:cs="Tahoma"/>
          <w:i/>
          <w:iCs/>
          <w:sz w:val="22"/>
          <w:szCs w:val="22"/>
        </w:rPr>
        <w:t>Rozsah služeb</w:t>
      </w:r>
      <w:r w:rsidRPr="00161303">
        <w:rPr>
          <w:rFonts w:ascii="Aptos" w:hAnsi="Aptos" w:cs="Tahoma"/>
          <w:sz w:val="22"/>
          <w:szCs w:val="22"/>
        </w:rPr>
        <w:t xml:space="preserve">], kteří představují minimální požadavky Objednatele na složení týmu Správce stavby, s výjimkou </w:t>
      </w:r>
      <w:r w:rsidR="00251F73" w:rsidRPr="00161303">
        <w:rPr>
          <w:rFonts w:ascii="Aptos" w:hAnsi="Aptos" w:cs="Tahoma"/>
          <w:sz w:val="22"/>
          <w:szCs w:val="22"/>
        </w:rPr>
        <w:t>Správce stavby – Koordinátora týmu Správce stavby</w:t>
      </w:r>
      <w:r w:rsidRPr="00161303">
        <w:rPr>
          <w:rFonts w:ascii="Aptos" w:hAnsi="Aptos" w:cs="Tahoma"/>
          <w:sz w:val="22"/>
          <w:szCs w:val="22"/>
        </w:rPr>
        <w:t>.</w:t>
      </w:r>
    </w:p>
    <w:p w14:paraId="18522F64" w14:textId="272BA399" w:rsidR="00530D3E" w:rsidRPr="00530D3E" w:rsidRDefault="003D1BBC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>Úprava Smluvní ceny, resp. Položkových cen (</w:t>
      </w:r>
      <w:r w:rsidR="00BC58B5" w:rsidRPr="00BC58B5">
        <w:rPr>
          <w:rFonts w:ascii="Aptos" w:hAnsi="Aptos" w:cs="Tahoma"/>
          <w:sz w:val="22"/>
          <w:szCs w:val="22"/>
        </w:rPr>
        <w:t xml:space="preserve">měsíčních paušálních plateb a </w:t>
      </w:r>
      <w:r>
        <w:rPr>
          <w:rFonts w:ascii="Aptos" w:hAnsi="Aptos" w:cs="Tahoma"/>
          <w:sz w:val="22"/>
          <w:szCs w:val="22"/>
        </w:rPr>
        <w:t>hodinových sazeb jednotlivých členů týmu Správce stavby)</w:t>
      </w:r>
      <w:r w:rsidR="00530D3E" w:rsidRPr="00161303">
        <w:rPr>
          <w:rFonts w:ascii="Aptos" w:hAnsi="Aptos" w:cs="Tahoma"/>
          <w:sz w:val="22"/>
          <w:szCs w:val="22"/>
        </w:rPr>
        <w:t xml:space="preserve"> v důsledku zvýšení ceny vstupních nákladů (inflace)</w:t>
      </w:r>
      <w:r w:rsidR="00524C45">
        <w:rPr>
          <w:rFonts w:ascii="Aptos" w:hAnsi="Aptos" w:cs="Tahoma"/>
          <w:sz w:val="22"/>
          <w:szCs w:val="22"/>
        </w:rPr>
        <w:t>,</w:t>
      </w:r>
      <w:r w:rsidR="00530D3E" w:rsidRPr="00161303">
        <w:rPr>
          <w:rFonts w:ascii="Aptos" w:hAnsi="Aptos" w:cs="Tahoma"/>
          <w:sz w:val="22"/>
          <w:szCs w:val="22"/>
        </w:rPr>
        <w:t xml:space="preserve"> bude prováděna nejdříve po třiceti šesti (36) měsících od </w:t>
      </w:r>
      <w:r>
        <w:rPr>
          <w:rFonts w:ascii="Aptos" w:hAnsi="Aptos" w:cs="Tahoma"/>
          <w:sz w:val="22"/>
          <w:szCs w:val="22"/>
        </w:rPr>
        <w:t>účinnosti Smlouvy</w:t>
      </w:r>
      <w:r w:rsidR="00530D3E" w:rsidRPr="00161303">
        <w:rPr>
          <w:rFonts w:ascii="Aptos" w:hAnsi="Aptos" w:cs="Tahoma"/>
          <w:sz w:val="22"/>
          <w:szCs w:val="22"/>
        </w:rPr>
        <w:t xml:space="preserve">. Konzultant je </w:t>
      </w:r>
      <w:r w:rsidR="00524C45" w:rsidRPr="00161303">
        <w:rPr>
          <w:rFonts w:ascii="Aptos" w:hAnsi="Aptos" w:cs="Tahoma"/>
          <w:sz w:val="22"/>
          <w:szCs w:val="22"/>
        </w:rPr>
        <w:t xml:space="preserve">oprávněn požadovat zvýšení </w:t>
      </w:r>
      <w:r w:rsidR="00524C45">
        <w:rPr>
          <w:rFonts w:ascii="Aptos" w:hAnsi="Aptos" w:cs="Tahoma"/>
          <w:sz w:val="22"/>
          <w:szCs w:val="22"/>
        </w:rPr>
        <w:t xml:space="preserve">Smluvní ceny, resp. </w:t>
      </w:r>
      <w:r w:rsidR="00524C45" w:rsidRPr="00161303">
        <w:rPr>
          <w:rFonts w:ascii="Aptos" w:hAnsi="Aptos" w:cs="Tahoma"/>
          <w:sz w:val="22"/>
          <w:szCs w:val="22"/>
        </w:rPr>
        <w:t>sjednaných Položkových cen, které doposud nebyly poskytnuty,</w:t>
      </w:r>
      <w:r w:rsidR="00530D3E" w:rsidRPr="00161303">
        <w:rPr>
          <w:rFonts w:ascii="Aptos" w:hAnsi="Aptos" w:cs="Tahoma"/>
          <w:sz w:val="22"/>
          <w:szCs w:val="22"/>
        </w:rPr>
        <w:t xml:space="preserve"> a to o</w:t>
      </w:r>
      <w:r>
        <w:rPr>
          <w:rFonts w:ascii="Aptos" w:hAnsi="Aptos" w:cs="Tahoma"/>
          <w:sz w:val="22"/>
          <w:szCs w:val="22"/>
        </w:rPr>
        <w:t> </w:t>
      </w:r>
      <w:r w:rsidR="00530D3E" w:rsidRPr="00161303">
        <w:rPr>
          <w:rFonts w:ascii="Aptos" w:hAnsi="Aptos" w:cs="Tahoma"/>
          <w:sz w:val="22"/>
          <w:szCs w:val="22"/>
        </w:rPr>
        <w:t xml:space="preserve">míru inflace v návaznosti na vývoj průměrného </w:t>
      </w:r>
      <w:bookmarkStart w:id="0" w:name="_Hlk103343014"/>
      <w:r w:rsidR="00530D3E" w:rsidRPr="00161303">
        <w:rPr>
          <w:rFonts w:ascii="Aptos" w:hAnsi="Aptos" w:cs="Tahoma"/>
          <w:sz w:val="22"/>
          <w:szCs w:val="22"/>
        </w:rPr>
        <w:t>ročního indexu cen v tržních službách, klasifikace produkce (CZ-CPA) „</w:t>
      </w:r>
      <w:r w:rsidR="00530D3E" w:rsidRPr="00161303">
        <w:rPr>
          <w:rFonts w:ascii="Aptos" w:hAnsi="Aptos" w:cs="Tahoma"/>
          <w:i/>
          <w:iCs/>
          <w:sz w:val="22"/>
          <w:szCs w:val="22"/>
        </w:rPr>
        <w:t>Architektonické a</w:t>
      </w:r>
      <w:r w:rsidR="00654510">
        <w:rPr>
          <w:rFonts w:ascii="Aptos" w:hAnsi="Aptos" w:cs="Tahoma"/>
          <w:i/>
          <w:iCs/>
          <w:sz w:val="22"/>
          <w:szCs w:val="22"/>
        </w:rPr>
        <w:t> </w:t>
      </w:r>
      <w:r w:rsidR="00530D3E" w:rsidRPr="00161303">
        <w:rPr>
          <w:rFonts w:ascii="Aptos" w:hAnsi="Aptos" w:cs="Tahoma"/>
          <w:i/>
          <w:iCs/>
          <w:sz w:val="22"/>
          <w:szCs w:val="22"/>
        </w:rPr>
        <w:t>inženýrské služby; technické zkoušky a</w:t>
      </w:r>
      <w:r>
        <w:rPr>
          <w:rFonts w:ascii="Aptos" w:hAnsi="Aptos" w:cs="Tahoma"/>
          <w:i/>
          <w:iCs/>
          <w:sz w:val="22"/>
          <w:szCs w:val="22"/>
        </w:rPr>
        <w:t> </w:t>
      </w:r>
      <w:r w:rsidR="00530D3E" w:rsidRPr="00161303">
        <w:rPr>
          <w:rFonts w:ascii="Aptos" w:hAnsi="Aptos" w:cs="Tahoma"/>
          <w:i/>
          <w:iCs/>
          <w:sz w:val="22"/>
          <w:szCs w:val="22"/>
        </w:rPr>
        <w:t>analýzy</w:t>
      </w:r>
      <w:r w:rsidR="00530D3E" w:rsidRPr="00161303">
        <w:rPr>
          <w:rFonts w:ascii="Aptos" w:hAnsi="Aptos" w:cs="Tahoma"/>
          <w:sz w:val="22"/>
          <w:szCs w:val="22"/>
        </w:rPr>
        <w:t>“, který je vyhlašovaný a</w:t>
      </w:r>
      <w:r w:rsidR="006C1610" w:rsidRPr="00161303">
        <w:rPr>
          <w:rFonts w:ascii="Aptos" w:hAnsi="Aptos" w:cs="Tahoma"/>
          <w:sz w:val="22"/>
          <w:szCs w:val="22"/>
        </w:rPr>
        <w:t> </w:t>
      </w:r>
      <w:r w:rsidR="00530D3E" w:rsidRPr="00161303">
        <w:rPr>
          <w:rFonts w:ascii="Aptos" w:hAnsi="Aptos" w:cs="Tahoma"/>
          <w:sz w:val="22"/>
          <w:szCs w:val="22"/>
        </w:rPr>
        <w:t>publikovaný Českým statistickým úřadem (dále jen „</w:t>
      </w:r>
      <w:r w:rsidR="00530D3E" w:rsidRPr="00161303">
        <w:rPr>
          <w:rFonts w:ascii="Aptos" w:hAnsi="Aptos" w:cs="Tahoma"/>
          <w:b/>
          <w:bCs/>
          <w:sz w:val="22"/>
          <w:szCs w:val="22"/>
        </w:rPr>
        <w:t>Index</w:t>
      </w:r>
      <w:r w:rsidR="00530D3E" w:rsidRPr="00161303">
        <w:rPr>
          <w:rFonts w:ascii="Aptos" w:hAnsi="Aptos" w:cs="Tahoma"/>
          <w:sz w:val="22"/>
          <w:szCs w:val="22"/>
        </w:rPr>
        <w:t>“)</w:t>
      </w:r>
      <w:r w:rsidR="00524C45">
        <w:rPr>
          <w:rFonts w:ascii="Aptos" w:hAnsi="Aptos" w:cs="Tahoma"/>
          <w:sz w:val="22"/>
          <w:szCs w:val="22"/>
        </w:rPr>
        <w:t xml:space="preserve">. K postupu dle předchozí věty je Konzultant oprávněn </w:t>
      </w:r>
      <w:r w:rsidR="00524C45" w:rsidRPr="00161303">
        <w:rPr>
          <w:rFonts w:ascii="Aptos" w:hAnsi="Aptos" w:cs="Tahoma"/>
          <w:sz w:val="22"/>
          <w:szCs w:val="22"/>
        </w:rPr>
        <w:t xml:space="preserve">nejdříve po třiceti šesti (36) měsících od </w:t>
      </w:r>
      <w:r w:rsidR="00524C45">
        <w:rPr>
          <w:rFonts w:ascii="Aptos" w:hAnsi="Aptos" w:cs="Tahoma"/>
          <w:sz w:val="22"/>
          <w:szCs w:val="22"/>
        </w:rPr>
        <w:t>účinnosti Smlouvy</w:t>
      </w:r>
      <w:r w:rsidR="00524C45" w:rsidRPr="003D1BBC">
        <w:rPr>
          <w:rFonts w:ascii="Aptos" w:hAnsi="Aptos" w:cs="Tahoma"/>
          <w:sz w:val="22"/>
          <w:szCs w:val="22"/>
        </w:rPr>
        <w:t xml:space="preserve"> </w:t>
      </w:r>
      <w:r w:rsidR="00524C45">
        <w:rPr>
          <w:rFonts w:ascii="Aptos" w:hAnsi="Aptos" w:cs="Tahoma"/>
          <w:sz w:val="22"/>
          <w:szCs w:val="22"/>
        </w:rPr>
        <w:t xml:space="preserve">a za </w:t>
      </w:r>
      <w:r w:rsidR="00D74CF3">
        <w:rPr>
          <w:rFonts w:ascii="Aptos" w:hAnsi="Aptos" w:cs="Tahoma"/>
          <w:sz w:val="22"/>
          <w:szCs w:val="22"/>
        </w:rPr>
        <w:t>podmínky</w:t>
      </w:r>
      <w:r w:rsidR="00524C45">
        <w:rPr>
          <w:rFonts w:ascii="Aptos" w:hAnsi="Aptos" w:cs="Tahoma"/>
          <w:sz w:val="22"/>
          <w:szCs w:val="22"/>
        </w:rPr>
        <w:t xml:space="preserve">, že </w:t>
      </w:r>
      <w:r w:rsidRPr="003D1BBC">
        <w:rPr>
          <w:rFonts w:ascii="Aptos" w:hAnsi="Aptos" w:cs="Tahoma"/>
          <w:sz w:val="22"/>
          <w:szCs w:val="22"/>
        </w:rPr>
        <w:t>hodnota průměrného</w:t>
      </w:r>
      <w:r>
        <w:rPr>
          <w:rFonts w:ascii="Aptos" w:hAnsi="Aptos" w:cs="Tahoma"/>
          <w:sz w:val="22"/>
          <w:szCs w:val="22"/>
        </w:rPr>
        <w:t xml:space="preserve"> ročního</w:t>
      </w:r>
      <w:r w:rsidRPr="003D1BBC">
        <w:rPr>
          <w:rFonts w:ascii="Aptos" w:hAnsi="Aptos" w:cs="Tahoma"/>
          <w:sz w:val="22"/>
          <w:szCs w:val="22"/>
        </w:rPr>
        <w:t xml:space="preserve"> Indexu</w:t>
      </w:r>
      <w:r w:rsidR="00524C45">
        <w:rPr>
          <w:rFonts w:ascii="Aptos" w:hAnsi="Aptos" w:cs="Tahoma"/>
          <w:sz w:val="22"/>
          <w:szCs w:val="22"/>
        </w:rPr>
        <w:t xml:space="preserve"> byla </w:t>
      </w:r>
      <w:r w:rsidR="00524C45" w:rsidRPr="003D1BBC">
        <w:rPr>
          <w:rFonts w:ascii="Aptos" w:hAnsi="Aptos" w:cs="Tahoma"/>
          <w:sz w:val="22"/>
          <w:szCs w:val="22"/>
        </w:rPr>
        <w:t>ve vztahu k předešlému období čtyř kalendářních čtvrtletí</w:t>
      </w:r>
      <w:r w:rsidR="00524C45">
        <w:rPr>
          <w:rFonts w:ascii="Aptos" w:hAnsi="Aptos" w:cs="Tahoma"/>
          <w:sz w:val="22"/>
          <w:szCs w:val="22"/>
        </w:rPr>
        <w:t xml:space="preserve"> </w:t>
      </w:r>
      <w:r w:rsidRPr="003D1BBC">
        <w:rPr>
          <w:rFonts w:ascii="Aptos" w:hAnsi="Aptos" w:cs="Tahoma"/>
          <w:sz w:val="22"/>
          <w:szCs w:val="22"/>
        </w:rPr>
        <w:t>vyšší o více než 5 %</w:t>
      </w:r>
      <w:r w:rsidR="00530D3E" w:rsidRPr="00161303">
        <w:rPr>
          <w:rFonts w:ascii="Aptos" w:hAnsi="Aptos" w:cs="Tahoma"/>
          <w:sz w:val="22"/>
          <w:szCs w:val="22"/>
        </w:rPr>
        <w:t xml:space="preserve">. Výchozí hodnotou Indexu je </w:t>
      </w:r>
      <w:bookmarkEnd w:id="0"/>
      <w:r>
        <w:rPr>
          <w:rFonts w:ascii="Aptos" w:hAnsi="Aptos" w:cs="Tahoma"/>
          <w:sz w:val="22"/>
          <w:szCs w:val="22"/>
        </w:rPr>
        <w:t xml:space="preserve">kalendářní čtvrtletí, </w:t>
      </w:r>
      <w:r w:rsidRPr="005D4E85">
        <w:rPr>
          <w:rFonts w:ascii="Aptos" w:hAnsi="Aptos" w:cs="Tahoma"/>
          <w:sz w:val="22"/>
          <w:szCs w:val="22"/>
        </w:rPr>
        <w:t>v němž Smlouva nabyla účinnosti</w:t>
      </w:r>
      <w:r w:rsidR="00530D3E" w:rsidRPr="00161303">
        <w:rPr>
          <w:rFonts w:ascii="Aptos" w:hAnsi="Aptos" w:cs="Tahoma"/>
          <w:sz w:val="22"/>
          <w:szCs w:val="22"/>
        </w:rPr>
        <w:t>. Hodnota změny</w:t>
      </w:r>
      <w:r>
        <w:rPr>
          <w:rFonts w:ascii="Aptos" w:hAnsi="Aptos" w:cs="Tahoma"/>
          <w:sz w:val="22"/>
          <w:szCs w:val="22"/>
        </w:rPr>
        <w:t xml:space="preserve"> Smluvní ceny, resp.</w:t>
      </w:r>
      <w:r w:rsidR="00530D3E" w:rsidRPr="00161303">
        <w:rPr>
          <w:rFonts w:ascii="Aptos" w:hAnsi="Aptos" w:cs="Tahoma"/>
          <w:sz w:val="22"/>
          <w:szCs w:val="22"/>
        </w:rPr>
        <w:t xml:space="preserve"> Položkov</w:t>
      </w:r>
      <w:r>
        <w:rPr>
          <w:rFonts w:ascii="Aptos" w:hAnsi="Aptos" w:cs="Tahoma"/>
          <w:sz w:val="22"/>
          <w:szCs w:val="22"/>
        </w:rPr>
        <w:t>ých</w:t>
      </w:r>
      <w:r w:rsidR="00530D3E" w:rsidRPr="00161303">
        <w:rPr>
          <w:rFonts w:ascii="Aptos" w:hAnsi="Aptos" w:cs="Tahoma"/>
          <w:sz w:val="22"/>
          <w:szCs w:val="22"/>
        </w:rPr>
        <w:t xml:space="preserve"> cen</w:t>
      </w:r>
      <w:r>
        <w:rPr>
          <w:rFonts w:ascii="Aptos" w:hAnsi="Aptos" w:cs="Tahoma"/>
          <w:sz w:val="22"/>
          <w:szCs w:val="22"/>
        </w:rPr>
        <w:t>,</w:t>
      </w:r>
      <w:r w:rsidR="00530D3E" w:rsidRPr="00161303">
        <w:rPr>
          <w:rFonts w:ascii="Aptos" w:hAnsi="Aptos" w:cs="Tahoma"/>
          <w:sz w:val="22"/>
          <w:szCs w:val="22"/>
        </w:rPr>
        <w:t xml:space="preserve"> tak bude vypočtena dle následujícího vzorce:</w:t>
      </w:r>
    </w:p>
    <w:bookmarkStart w:id="1" w:name="_Hlk106198133"/>
    <w:p w14:paraId="23F0BB9D" w14:textId="77777777" w:rsidR="00530D3E" w:rsidRPr="00161303" w:rsidRDefault="00000000">
      <w:pPr>
        <w:pStyle w:val="Odstavecseseznamem"/>
        <w:spacing w:after="120" w:line="276" w:lineRule="auto"/>
        <w:contextualSpacing w:val="0"/>
        <w:jc w:val="both"/>
        <w:rPr>
          <w:rFonts w:ascii="Aptos" w:hAnsi="Aptos" w:cs="Tahoma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="Tahoma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ahoma"/>
                  <w:sz w:val="22"/>
                  <w:szCs w:val="22"/>
                </w:rPr>
                <m:t>(Hodnota Indexu uveřejněná v databázi ČSÚ-100)</m:t>
              </m:r>
            </m:num>
            <m:den>
              <m:r>
                <w:rPr>
                  <w:rFonts w:ascii="Cambria Math" w:hAnsi="Cambria Math" w:cs="Tahoma"/>
                  <w:sz w:val="22"/>
                  <w:szCs w:val="22"/>
                </w:rPr>
                <m:t>100</m:t>
              </m:r>
            </m:den>
          </m:f>
          <m:r>
            <w:rPr>
              <w:rFonts w:ascii="Cambria Math" w:hAnsi="Cambria Math" w:cs="Tahoma"/>
              <w:sz w:val="22"/>
              <w:szCs w:val="22"/>
            </w:rPr>
            <m:t>*</m:t>
          </m:r>
          <w:bookmarkEnd w:id="1"/>
          <m:r>
            <w:rPr>
              <w:rFonts w:ascii="Cambria Math" w:hAnsi="Cambria Math" w:cs="Tahoma"/>
              <w:sz w:val="22"/>
              <w:szCs w:val="22"/>
            </w:rPr>
            <m:t>Položková cena</m:t>
          </m:r>
        </m:oMath>
      </m:oMathPara>
    </w:p>
    <w:p w14:paraId="655A36EC" w14:textId="0A4DA9F6" w:rsidR="00530D3E" w:rsidRPr="00530D3E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>Ke zvýšení Položkov</w:t>
      </w:r>
      <w:r w:rsidR="003D1BBC">
        <w:rPr>
          <w:rFonts w:ascii="Aptos" w:hAnsi="Aptos" w:cs="Tahoma"/>
          <w:sz w:val="22"/>
          <w:szCs w:val="22"/>
        </w:rPr>
        <w:t>ých</w:t>
      </w:r>
      <w:r w:rsidRPr="00530D3E">
        <w:rPr>
          <w:rFonts w:ascii="Aptos" w:hAnsi="Aptos" w:cs="Tahoma"/>
          <w:sz w:val="22"/>
          <w:szCs w:val="22"/>
        </w:rPr>
        <w:t xml:space="preserve"> cen dochází výlučně na základě žádosti Konzultanta. Písemnou žádost o změnu smluvní ceny je Konzultant oprávněn podat v den, který se číselným označením shoduje s </w:t>
      </w:r>
      <w:r w:rsidR="00BC58B5">
        <w:rPr>
          <w:rFonts w:ascii="Aptos" w:hAnsi="Aptos" w:cs="Tahoma"/>
          <w:sz w:val="22"/>
          <w:szCs w:val="22"/>
        </w:rPr>
        <w:t>datem účinnosti Smlouvy</w:t>
      </w:r>
      <w:r w:rsidRPr="00530D3E">
        <w:rPr>
          <w:rFonts w:ascii="Aptos" w:hAnsi="Aptos" w:cs="Tahoma"/>
          <w:sz w:val="22"/>
          <w:szCs w:val="22"/>
        </w:rPr>
        <w:t xml:space="preserve">. Tato žádost bude obsahovat vyčíslení nárokovaného zvýšení Položkových cen obsažených v této Příloze 3 (měsíčních paušálních plateb a hodinových sazeb). Pro odstranění </w:t>
      </w:r>
      <w:r w:rsidR="00161A08">
        <w:rPr>
          <w:rFonts w:ascii="Aptos" w:hAnsi="Aptos" w:cs="Tahoma"/>
          <w:sz w:val="22"/>
          <w:szCs w:val="22"/>
        </w:rPr>
        <w:t xml:space="preserve">pochybností </w:t>
      </w:r>
      <w:r w:rsidRPr="00530D3E">
        <w:rPr>
          <w:rFonts w:ascii="Aptos" w:hAnsi="Aptos" w:cs="Tahoma"/>
          <w:sz w:val="22"/>
          <w:szCs w:val="22"/>
        </w:rPr>
        <w:t>Strany shodně uvádí, že k úpravě Položkové ceny dle tohoto ujednání není třeba uzavírat dodatek ke Smlouvě. Předchozí věta nevylučuje, aby Strany z důvodu právní jistoty sepsaly a podepsaly zápis o</w:t>
      </w:r>
      <w:r w:rsidR="00161A08">
        <w:rPr>
          <w:rFonts w:ascii="Aptos" w:hAnsi="Aptos" w:cs="Tahoma"/>
          <w:sz w:val="22"/>
          <w:szCs w:val="22"/>
        </w:rPr>
        <w:t> </w:t>
      </w:r>
      <w:r w:rsidRPr="00530D3E">
        <w:rPr>
          <w:rFonts w:ascii="Aptos" w:hAnsi="Aptos" w:cs="Tahoma"/>
          <w:sz w:val="22"/>
          <w:szCs w:val="22"/>
        </w:rPr>
        <w:t>navýšení Položkových cen.</w:t>
      </w:r>
    </w:p>
    <w:p w14:paraId="50F9E11D" w14:textId="043AEE35" w:rsidR="00530D3E" w:rsidRPr="00530D3E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 xml:space="preserve">Objednatel upozorňuje, že Zhotovitel Díla bude oprávněn využít možnosti realizovat Dílo ve vícesměnném provozu. V případě, že Zhotovitel Díla využije možnost realizovat Dílo ve vícesměnném provozu, budou Služby poskytované Konzultantem v důsledku této skutečnosti hrazeny v hodinové sazbě. Pro evidenci a oceňování Služeb poskytovaných v rámci vícesměnného provozu se přiměřeně použijí ujednání obsažená v písm. A. odst. </w:t>
      </w:r>
      <w:r w:rsidR="004C33D3">
        <w:rPr>
          <w:rFonts w:ascii="Aptos" w:hAnsi="Aptos" w:cs="Tahoma"/>
          <w:sz w:val="22"/>
          <w:szCs w:val="22"/>
        </w:rPr>
        <w:t>7</w:t>
      </w:r>
      <w:r w:rsidR="004C33D3" w:rsidRPr="00530D3E">
        <w:rPr>
          <w:rFonts w:ascii="Aptos" w:hAnsi="Aptos" w:cs="Tahoma"/>
          <w:sz w:val="22"/>
          <w:szCs w:val="22"/>
        </w:rPr>
        <w:t xml:space="preserve"> </w:t>
      </w:r>
      <w:r w:rsidRPr="00530D3E">
        <w:rPr>
          <w:rFonts w:ascii="Aptos" w:hAnsi="Aptos" w:cs="Tahoma"/>
          <w:sz w:val="22"/>
          <w:szCs w:val="22"/>
        </w:rPr>
        <w:lastRenderedPageBreak/>
        <w:t xml:space="preserve">až </w:t>
      </w:r>
      <w:r w:rsidR="004C33D3">
        <w:rPr>
          <w:rFonts w:ascii="Aptos" w:hAnsi="Aptos" w:cs="Tahoma"/>
          <w:sz w:val="22"/>
          <w:szCs w:val="22"/>
        </w:rPr>
        <w:t>9</w:t>
      </w:r>
      <w:r w:rsidR="004C33D3" w:rsidRPr="00530D3E">
        <w:rPr>
          <w:rFonts w:ascii="Aptos" w:hAnsi="Aptos" w:cs="Tahoma"/>
          <w:sz w:val="22"/>
          <w:szCs w:val="22"/>
        </w:rPr>
        <w:t xml:space="preserve"> </w:t>
      </w:r>
      <w:r w:rsidRPr="00530D3E">
        <w:rPr>
          <w:rFonts w:ascii="Aptos" w:hAnsi="Aptos" w:cs="Tahoma"/>
          <w:sz w:val="22"/>
          <w:szCs w:val="22"/>
        </w:rPr>
        <w:t>této Přílohy 3. Hodinová sazba jednotlivých členů týmu Správce stavby je stejná bez ohledu na čas směny.</w:t>
      </w:r>
    </w:p>
    <w:p w14:paraId="1D3DE629" w14:textId="77777777" w:rsidR="00530D3E" w:rsidRPr="00530D3E" w:rsidRDefault="00530D3E" w:rsidP="002849D2">
      <w:pPr>
        <w:pStyle w:val="Zkladntext21"/>
        <w:keepNext/>
        <w:numPr>
          <w:ilvl w:val="0"/>
          <w:numId w:val="66"/>
        </w:numPr>
        <w:spacing w:after="60" w:line="276" w:lineRule="auto"/>
        <w:ind w:left="567" w:hanging="567"/>
        <w:jc w:val="both"/>
        <w:rPr>
          <w:rFonts w:ascii="Aptos" w:hAnsi="Aptos" w:cs="Tahoma"/>
          <w:b w:val="0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>Podmínky pro vyplácení odměny</w:t>
      </w:r>
    </w:p>
    <w:p w14:paraId="6AB37774" w14:textId="247819BC" w:rsidR="00530D3E" w:rsidRPr="00496D71" w:rsidRDefault="00530D3E" w:rsidP="00754577">
      <w:pPr>
        <w:pStyle w:val="Odstavecseseznamem"/>
        <w:keepNext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 xml:space="preserve">Objednatel bude Konzultantovi hradit odměnu za Služby na základě faktur </w:t>
      </w:r>
      <w:r w:rsidR="00754577">
        <w:rPr>
          <w:rFonts w:ascii="Aptos" w:hAnsi="Aptos" w:cs="Tahoma"/>
          <w:sz w:val="22"/>
          <w:szCs w:val="22"/>
        </w:rPr>
        <w:t>(</w:t>
      </w:r>
      <w:r w:rsidRPr="00530D3E">
        <w:rPr>
          <w:rFonts w:ascii="Aptos" w:hAnsi="Aptos" w:cs="Tahoma"/>
          <w:sz w:val="22"/>
          <w:szCs w:val="22"/>
        </w:rPr>
        <w:t xml:space="preserve">daňových dokladů s náležitostmi dle zákona č. 235/2004 Sb., o dani z přidané hodnoty, ve znění pozdějších předpisů, resp. Směrnice Rady 2006/112/ES ze dne 28. listopadu 2006 o společném systému daně z přidané hodnoty, u </w:t>
      </w:r>
      <w:r w:rsidRPr="00496D71">
        <w:rPr>
          <w:rFonts w:ascii="Aptos" w:hAnsi="Aptos" w:cs="Tahoma"/>
          <w:sz w:val="22"/>
          <w:szCs w:val="22"/>
        </w:rPr>
        <w:t>Konzultanta se sídlem mimo území ČR</w:t>
      </w:r>
      <w:r w:rsidR="00754577">
        <w:rPr>
          <w:rFonts w:ascii="Aptos" w:hAnsi="Aptos" w:cs="Tahoma"/>
          <w:sz w:val="22"/>
          <w:szCs w:val="22"/>
        </w:rPr>
        <w:t>)</w:t>
      </w:r>
      <w:r w:rsidRPr="00496D71">
        <w:rPr>
          <w:rFonts w:ascii="Aptos" w:hAnsi="Aptos" w:cs="Tahoma"/>
          <w:sz w:val="22"/>
          <w:szCs w:val="22"/>
        </w:rPr>
        <w:t xml:space="preserve">, které je Konzultant povinen vystavit vždy do sedmi (7) dnů </w:t>
      </w:r>
      <w:r w:rsidR="00496D71" w:rsidRPr="00496D71">
        <w:rPr>
          <w:rFonts w:ascii="Aptos" w:hAnsi="Aptos" w:cs="Tahoma"/>
          <w:sz w:val="22"/>
          <w:szCs w:val="22"/>
        </w:rPr>
        <w:t>po odsouhlasení Měsíční zprávy</w:t>
      </w:r>
      <w:r w:rsidR="007C4C83">
        <w:rPr>
          <w:rFonts w:ascii="Aptos" w:hAnsi="Aptos" w:cs="Tahoma"/>
          <w:sz w:val="22"/>
          <w:szCs w:val="22"/>
        </w:rPr>
        <w:t xml:space="preserve"> ze strany PIU</w:t>
      </w:r>
      <w:r w:rsidRPr="00496D71">
        <w:rPr>
          <w:rFonts w:ascii="Aptos" w:hAnsi="Aptos" w:cs="Tahoma"/>
          <w:sz w:val="22"/>
          <w:szCs w:val="22"/>
        </w:rPr>
        <w:t>.</w:t>
      </w:r>
    </w:p>
    <w:p w14:paraId="01FA7EB4" w14:textId="4E9FF3F6" w:rsidR="00530D3E" w:rsidRPr="00530D3E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 xml:space="preserve">Přílohou každé faktury bude </w:t>
      </w:r>
      <w:r w:rsidR="00496D71" w:rsidRPr="00496D71">
        <w:rPr>
          <w:rFonts w:ascii="Aptos" w:hAnsi="Aptos" w:cs="Tahoma"/>
          <w:sz w:val="22"/>
          <w:szCs w:val="22"/>
        </w:rPr>
        <w:t>Měsíční zpráva</w:t>
      </w:r>
      <w:r w:rsidR="007C4C83" w:rsidRPr="007C4C83">
        <w:rPr>
          <w:rFonts w:ascii="Aptos" w:hAnsi="Aptos" w:cs="Tahoma"/>
          <w:sz w:val="22"/>
          <w:szCs w:val="22"/>
        </w:rPr>
        <w:t xml:space="preserve"> </w:t>
      </w:r>
      <w:r w:rsidR="007C4C83" w:rsidRPr="00496D71">
        <w:rPr>
          <w:rFonts w:ascii="Aptos" w:hAnsi="Aptos" w:cs="Tahoma"/>
          <w:sz w:val="22"/>
          <w:szCs w:val="22"/>
        </w:rPr>
        <w:t>odsouhlasená</w:t>
      </w:r>
      <w:r w:rsidR="007C4C83">
        <w:rPr>
          <w:rFonts w:ascii="Aptos" w:hAnsi="Aptos" w:cs="Tahoma"/>
          <w:sz w:val="22"/>
          <w:szCs w:val="22"/>
        </w:rPr>
        <w:t xml:space="preserve"> PIU</w:t>
      </w:r>
      <w:r w:rsidR="00496D71" w:rsidRPr="00496D71">
        <w:rPr>
          <w:rFonts w:ascii="Aptos" w:hAnsi="Aptos" w:cs="Tahoma"/>
          <w:sz w:val="22"/>
          <w:szCs w:val="22"/>
        </w:rPr>
        <w:t xml:space="preserve">, jejíž součástí musí být </w:t>
      </w:r>
      <w:r w:rsidRPr="00530D3E">
        <w:rPr>
          <w:rFonts w:ascii="Aptos" w:hAnsi="Aptos" w:cs="Tahoma"/>
          <w:sz w:val="22"/>
          <w:szCs w:val="22"/>
        </w:rPr>
        <w:t xml:space="preserve">v případě Služeb dle písm. A. odst. </w:t>
      </w:r>
      <w:r w:rsidR="004C33D3">
        <w:rPr>
          <w:rFonts w:ascii="Aptos" w:hAnsi="Aptos" w:cs="Tahoma"/>
          <w:sz w:val="22"/>
          <w:szCs w:val="22"/>
        </w:rPr>
        <w:t>7</w:t>
      </w:r>
      <w:r w:rsidR="002B337E" w:rsidRPr="00530D3E">
        <w:rPr>
          <w:rFonts w:ascii="Aptos" w:hAnsi="Aptos" w:cs="Tahoma"/>
          <w:sz w:val="22"/>
          <w:szCs w:val="22"/>
        </w:rPr>
        <w:t xml:space="preserve"> </w:t>
      </w:r>
      <w:r w:rsidRPr="00530D3E">
        <w:rPr>
          <w:rFonts w:ascii="Aptos" w:hAnsi="Aptos" w:cs="Tahoma"/>
          <w:sz w:val="22"/>
          <w:szCs w:val="22"/>
        </w:rPr>
        <w:t xml:space="preserve">této Přílohy 3 detailní přehled Služeb (evidence) poskytnutých jednotlivými členy týmu Správce stavby (hodinové výkazy) a jejich časovou </w:t>
      </w:r>
      <w:r w:rsidR="00CF4E4D">
        <w:rPr>
          <w:rFonts w:ascii="Aptos" w:hAnsi="Aptos" w:cs="Tahoma"/>
          <w:sz w:val="22"/>
          <w:szCs w:val="22"/>
        </w:rPr>
        <w:t>náročností</w:t>
      </w:r>
      <w:r w:rsidR="00CF4E4D" w:rsidRPr="00530D3E">
        <w:rPr>
          <w:rFonts w:ascii="Aptos" w:hAnsi="Aptos" w:cs="Tahoma"/>
          <w:sz w:val="22"/>
          <w:szCs w:val="22"/>
        </w:rPr>
        <w:t xml:space="preserve"> </w:t>
      </w:r>
      <w:r w:rsidRPr="00530D3E">
        <w:rPr>
          <w:rFonts w:ascii="Aptos" w:hAnsi="Aptos" w:cs="Tahoma"/>
          <w:sz w:val="22"/>
          <w:szCs w:val="22"/>
        </w:rPr>
        <w:t>(vykazovací jednotkou je 15 min.) s uvedením konkrétně prováděných činností.</w:t>
      </w:r>
    </w:p>
    <w:p w14:paraId="01DB5F8A" w14:textId="77777777" w:rsidR="00530D3E" w:rsidRPr="00530D3E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>Splatnost každé faktury je třicet (30) dní ode dne doručení faktury Objednateli.</w:t>
      </w:r>
    </w:p>
    <w:p w14:paraId="57ECE1B0" w14:textId="6DBD8A5E" w:rsidR="00530D3E" w:rsidRPr="00530D3E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>V případě, že ke dni ukončení poskytování Služeb nebude</w:t>
      </w:r>
      <w:r w:rsidR="00AC61EA">
        <w:rPr>
          <w:rFonts w:ascii="Aptos" w:hAnsi="Aptos" w:cs="Tahoma"/>
          <w:sz w:val="22"/>
          <w:szCs w:val="22"/>
        </w:rPr>
        <w:t xml:space="preserve"> </w:t>
      </w:r>
      <w:r w:rsidR="00AC61EA" w:rsidRPr="00AC61EA">
        <w:rPr>
          <w:rFonts w:ascii="Aptos" w:hAnsi="Aptos" w:cs="Tahoma"/>
          <w:sz w:val="22"/>
          <w:szCs w:val="22"/>
        </w:rPr>
        <w:t>(s výjimkou případu uvedeného v odst. 4</w:t>
      </w:r>
      <w:r w:rsidR="00AC61EA">
        <w:rPr>
          <w:rFonts w:ascii="Aptos" w:hAnsi="Aptos" w:cs="Tahoma"/>
          <w:sz w:val="22"/>
          <w:szCs w:val="22"/>
        </w:rPr>
        <w:t>.</w:t>
      </w:r>
      <w:r w:rsidR="00AC61EA" w:rsidRPr="00AC61EA">
        <w:rPr>
          <w:rFonts w:ascii="Aptos" w:hAnsi="Aptos" w:cs="Tahoma"/>
          <w:sz w:val="22"/>
          <w:szCs w:val="22"/>
        </w:rPr>
        <w:t xml:space="preserve"> této Přílohy 1)</w:t>
      </w:r>
      <w:r w:rsidRPr="00530D3E">
        <w:rPr>
          <w:rFonts w:ascii="Aptos" w:hAnsi="Aptos" w:cs="Tahoma"/>
          <w:sz w:val="22"/>
          <w:szCs w:val="22"/>
        </w:rPr>
        <w:t xml:space="preserve"> celková peněžní částka čerpaná Konzultantem za Služby dosahovat výše Přijaté smluvní částky</w:t>
      </w:r>
      <w:r w:rsidR="00DB425B">
        <w:rPr>
          <w:rFonts w:ascii="Aptos" w:hAnsi="Aptos" w:cs="Tahoma"/>
          <w:sz w:val="22"/>
          <w:szCs w:val="22"/>
        </w:rPr>
        <w:t xml:space="preserve"> (např. z důvodu ukončení Smlouvy </w:t>
      </w:r>
      <w:r w:rsidR="00A545C5">
        <w:rPr>
          <w:rFonts w:ascii="Aptos" w:hAnsi="Aptos" w:cs="Tahoma"/>
          <w:sz w:val="22"/>
          <w:szCs w:val="22"/>
        </w:rPr>
        <w:t>ze strany Konzultanta)</w:t>
      </w:r>
      <w:r w:rsidRPr="00530D3E">
        <w:rPr>
          <w:rFonts w:ascii="Aptos" w:hAnsi="Aptos" w:cs="Tahoma"/>
          <w:sz w:val="22"/>
          <w:szCs w:val="22"/>
        </w:rPr>
        <w:t>, nebude Konzultantovi zbývající část Přijaté smluvní částky uhrazena, neboť v tomto rozsahu nebyly Služby Konzultantem poskytnuty.</w:t>
      </w:r>
    </w:p>
    <w:p w14:paraId="359B0263" w14:textId="77777777" w:rsidR="00530D3E" w:rsidRPr="00530D3E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>V případě vzniku Mimořádných nákladů je Konzultant povinen za tyto Mimořádné náklady vystavit samostatnou fakturu, a to stejným způsobem a se stejnými náležitostmi, jako v případě faktury za Služby.</w:t>
      </w:r>
    </w:p>
    <w:p w14:paraId="16B75FEB" w14:textId="77777777" w:rsidR="00530D3E" w:rsidRPr="00530D3E" w:rsidRDefault="00530D3E" w:rsidP="004D0CED">
      <w:pPr>
        <w:pStyle w:val="Zkladntext21"/>
        <w:keepNext/>
        <w:numPr>
          <w:ilvl w:val="0"/>
          <w:numId w:val="66"/>
        </w:numPr>
        <w:spacing w:before="120" w:after="60" w:line="276" w:lineRule="auto"/>
        <w:ind w:left="567" w:hanging="567"/>
        <w:jc w:val="both"/>
        <w:rPr>
          <w:rFonts w:ascii="Aptos" w:hAnsi="Aptos" w:cs="Tahoma"/>
          <w:b w:val="0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>Hodinové sazby členů týmu Správce stavby</w:t>
      </w:r>
    </w:p>
    <w:p w14:paraId="13E76695" w14:textId="7CC4DD87" w:rsidR="00530D3E" w:rsidRPr="00530D3E" w:rsidRDefault="00530D3E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Fonts w:ascii="Aptos" w:hAnsi="Aptos" w:cs="Tahoma"/>
          <w:sz w:val="22"/>
          <w:szCs w:val="22"/>
        </w:rPr>
      </w:pPr>
      <w:r w:rsidRPr="00530D3E">
        <w:rPr>
          <w:rFonts w:ascii="Aptos" w:hAnsi="Aptos" w:cs="Tahoma"/>
          <w:sz w:val="22"/>
          <w:szCs w:val="22"/>
        </w:rPr>
        <w:t>Konzultant je povinen do níže uvedené tabulky doplnit hodinové sazby jednotlivých členů týmu Správce stavby.</w:t>
      </w:r>
      <w:r w:rsidR="00496D71">
        <w:rPr>
          <w:rFonts w:ascii="Aptos" w:hAnsi="Aptos" w:cs="Tahoma"/>
          <w:sz w:val="22"/>
          <w:szCs w:val="22"/>
        </w:rPr>
        <w:t xml:space="preserve"> Hodinová sazba se uplatní pro výpočet odměny Konzultanta za </w:t>
      </w:r>
      <w:r w:rsidR="002B337E">
        <w:rPr>
          <w:rFonts w:ascii="Aptos" w:hAnsi="Aptos" w:cs="Tahoma"/>
          <w:sz w:val="22"/>
          <w:szCs w:val="22"/>
        </w:rPr>
        <w:t xml:space="preserve">Služby ve Fázi </w:t>
      </w:r>
      <w:r w:rsidR="002B337E" w:rsidRPr="002B337E">
        <w:rPr>
          <w:rFonts w:ascii="Aptos" w:hAnsi="Aptos" w:cs="Tahoma"/>
          <w:sz w:val="22"/>
          <w:szCs w:val="22"/>
        </w:rPr>
        <w:t>poskytování služeb v záruční době Díla</w:t>
      </w:r>
      <w:r w:rsidR="002B337E">
        <w:rPr>
          <w:rFonts w:ascii="Aptos" w:hAnsi="Aptos" w:cs="Tahoma"/>
          <w:sz w:val="22"/>
          <w:szCs w:val="22"/>
        </w:rPr>
        <w:t>,</w:t>
      </w:r>
      <w:r w:rsidR="002B337E" w:rsidRPr="002B337E">
        <w:rPr>
          <w:rFonts w:ascii="Aptos" w:hAnsi="Aptos" w:cs="Tahoma"/>
          <w:sz w:val="22"/>
          <w:szCs w:val="22"/>
        </w:rPr>
        <w:t xml:space="preserve"> </w:t>
      </w:r>
      <w:r w:rsidR="00496D71">
        <w:rPr>
          <w:rFonts w:ascii="Aptos" w:hAnsi="Aptos" w:cs="Tahoma"/>
          <w:sz w:val="22"/>
          <w:szCs w:val="22"/>
        </w:rPr>
        <w:t>Mimořádné služby a v případě Variací Služeb.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209"/>
        <w:gridCol w:w="2863"/>
      </w:tblGrid>
      <w:tr w:rsidR="00530D3E" w:rsidRPr="00530D3E" w14:paraId="7A25B110" w14:textId="77777777" w:rsidTr="004D0CED">
        <w:tc>
          <w:tcPr>
            <w:tcW w:w="6209" w:type="dxa"/>
            <w:shd w:val="clear" w:color="auto" w:fill="D9D9D9" w:themeFill="background1" w:themeFillShade="D9"/>
            <w:vAlign w:val="center"/>
          </w:tcPr>
          <w:p w14:paraId="2F571C0D" w14:textId="77777777" w:rsidR="00530D3E" w:rsidRPr="00530D3E" w:rsidRDefault="00530D3E" w:rsidP="004D0CED">
            <w:pPr>
              <w:spacing w:line="276" w:lineRule="auto"/>
              <w:rPr>
                <w:rFonts w:ascii="Aptos" w:hAnsi="Aptos" w:cs="Tahoma"/>
                <w:b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br w:type="page"/>
            </w:r>
            <w:r w:rsidRPr="00530D3E">
              <w:rPr>
                <w:rFonts w:ascii="Aptos" w:hAnsi="Aptos" w:cs="Tahoma"/>
                <w:b/>
                <w:sz w:val="22"/>
                <w:szCs w:val="22"/>
              </w:rPr>
              <w:t>Člen týmu</w:t>
            </w:r>
          </w:p>
        </w:tc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3BDBE1DC" w14:textId="560D00D2" w:rsidR="00530D3E" w:rsidRPr="00530D3E" w:rsidRDefault="00530D3E">
            <w:pPr>
              <w:spacing w:before="40" w:after="40" w:line="276" w:lineRule="auto"/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530D3E">
              <w:rPr>
                <w:rFonts w:ascii="Aptos" w:hAnsi="Aptos" w:cs="Tahoma"/>
                <w:b/>
                <w:sz w:val="22"/>
                <w:szCs w:val="22"/>
              </w:rPr>
              <w:t>Hodinová sazba</w:t>
            </w:r>
          </w:p>
          <w:p w14:paraId="7D74852B" w14:textId="77777777" w:rsidR="00530D3E" w:rsidRPr="00530D3E" w:rsidRDefault="00530D3E">
            <w:pPr>
              <w:spacing w:before="40" w:after="40" w:line="276" w:lineRule="auto"/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530D3E">
              <w:rPr>
                <w:rFonts w:ascii="Aptos" w:hAnsi="Aptos" w:cs="Tahoma"/>
                <w:b/>
                <w:sz w:val="22"/>
                <w:szCs w:val="22"/>
              </w:rPr>
              <w:t>(v Kč bez DPH)</w:t>
            </w:r>
          </w:p>
        </w:tc>
      </w:tr>
      <w:tr w:rsidR="00530D3E" w:rsidRPr="00530D3E" w14:paraId="7FF15550" w14:textId="77777777" w:rsidTr="004D0CED">
        <w:tc>
          <w:tcPr>
            <w:tcW w:w="6209" w:type="dxa"/>
          </w:tcPr>
          <w:p w14:paraId="1306A921" w14:textId="6AA372CF" w:rsidR="00530D3E" w:rsidRPr="00530D3E" w:rsidRDefault="00251F73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 w:rsidRPr="00251F73">
              <w:rPr>
                <w:rFonts w:ascii="Aptos" w:hAnsi="Aptos" w:cs="Tahoma"/>
                <w:sz w:val="22"/>
                <w:szCs w:val="22"/>
              </w:rPr>
              <w:t>Správce stavby – Koordinátor týmu Správce stavby</w:t>
            </w:r>
          </w:p>
        </w:tc>
        <w:tc>
          <w:tcPr>
            <w:tcW w:w="2863" w:type="dxa"/>
          </w:tcPr>
          <w:p w14:paraId="01930346" w14:textId="54B8713A" w:rsidR="00530D3E" w:rsidRPr="00530D3E" w:rsidRDefault="00530D3E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>dopl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ní </w:t>
            </w:r>
            <w:r w:rsidR="00655572"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530D3E" w:rsidRPr="00530D3E" w14:paraId="4A628361" w14:textId="77777777" w:rsidTr="004D0CED">
        <w:tc>
          <w:tcPr>
            <w:tcW w:w="6209" w:type="dxa"/>
          </w:tcPr>
          <w:p w14:paraId="6862E9CE" w14:textId="51956915" w:rsidR="00530D3E" w:rsidRPr="00530D3E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Konzultační inženýr – Zástupce Správce stavby</w:t>
            </w:r>
            <w:r w:rsidR="00530D3E" w:rsidRPr="00530D3E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</w:tcPr>
          <w:p w14:paraId="35B06013" w14:textId="1DFB5AB3" w:rsidR="00530D3E" w:rsidRPr="00530D3E" w:rsidRDefault="00530D3E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="00655572"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530D3E" w:rsidRPr="00530D3E" w14:paraId="033C4FBF" w14:textId="77777777" w:rsidTr="004D0CED">
        <w:tc>
          <w:tcPr>
            <w:tcW w:w="6209" w:type="dxa"/>
          </w:tcPr>
          <w:p w14:paraId="40570F35" w14:textId="51641BB0" w:rsidR="00530D3E" w:rsidRPr="00530D3E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Projektant – Specialista na vodohospodářské stavby</w:t>
            </w:r>
          </w:p>
        </w:tc>
        <w:tc>
          <w:tcPr>
            <w:tcW w:w="2863" w:type="dxa"/>
          </w:tcPr>
          <w:p w14:paraId="66EF3E77" w14:textId="72ABE171" w:rsidR="00530D3E" w:rsidRPr="00530D3E" w:rsidRDefault="00530D3E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="00655572"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A601B2" w:rsidRPr="00530D3E" w14:paraId="098D09CD" w14:textId="77777777" w:rsidTr="004D0CED">
        <w:tc>
          <w:tcPr>
            <w:tcW w:w="6209" w:type="dxa"/>
          </w:tcPr>
          <w:p w14:paraId="5053B2E0" w14:textId="7014F11F" w:rsidR="00A601B2" w:rsidRDefault="00A601B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 w:rsidRPr="00A601B2">
              <w:rPr>
                <w:rFonts w:ascii="Aptos" w:hAnsi="Aptos" w:cs="Tahoma"/>
                <w:sz w:val="22"/>
                <w:szCs w:val="22"/>
              </w:rPr>
              <w:t>Technický dozor – specialista na vodohospodářské stavby</w:t>
            </w:r>
          </w:p>
        </w:tc>
        <w:tc>
          <w:tcPr>
            <w:tcW w:w="2863" w:type="dxa"/>
          </w:tcPr>
          <w:p w14:paraId="36021930" w14:textId="51B5613C" w:rsidR="00A601B2" w:rsidRPr="00530D3E" w:rsidRDefault="00A601B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A601B2">
              <w:rPr>
                <w:rFonts w:ascii="Aptos" w:hAnsi="Aptos" w:cs="Tahoma"/>
                <w:sz w:val="22"/>
                <w:szCs w:val="22"/>
              </w:rPr>
              <w:t>[</w:t>
            </w:r>
            <w:r w:rsidRPr="00A601B2">
              <w:rPr>
                <w:rFonts w:ascii="Aptos" w:hAnsi="Aptos" w:cs="Tahoma"/>
                <w:sz w:val="22"/>
                <w:szCs w:val="22"/>
                <w:highlight w:val="yellow"/>
              </w:rPr>
              <w:t>doplní dodavatel</w:t>
            </w:r>
            <w:r w:rsidRPr="00A601B2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530D3E" w:rsidRPr="00530D3E" w14:paraId="1BC5F424" w14:textId="77777777" w:rsidTr="004D0CED">
        <w:tc>
          <w:tcPr>
            <w:tcW w:w="6209" w:type="dxa"/>
          </w:tcPr>
          <w:p w14:paraId="3BCC172C" w14:textId="2F8FDE4F" w:rsidR="00530D3E" w:rsidRPr="00530D3E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Specialista na technologická zařízení staveb</w:t>
            </w:r>
          </w:p>
        </w:tc>
        <w:tc>
          <w:tcPr>
            <w:tcW w:w="2863" w:type="dxa"/>
          </w:tcPr>
          <w:p w14:paraId="1FA1C316" w14:textId="2B2EE951" w:rsidR="00530D3E" w:rsidRPr="00530D3E" w:rsidRDefault="00530D3E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="00655572"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530D3E" w:rsidRPr="00530D3E" w14:paraId="6F8C3C3D" w14:textId="77777777" w:rsidTr="004D0CED">
        <w:tc>
          <w:tcPr>
            <w:tcW w:w="6209" w:type="dxa"/>
          </w:tcPr>
          <w:p w14:paraId="1433D80E" w14:textId="0CA4BBF3" w:rsidR="00530D3E" w:rsidRPr="00530D3E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Rozpočtář</w:t>
            </w:r>
          </w:p>
        </w:tc>
        <w:tc>
          <w:tcPr>
            <w:tcW w:w="2863" w:type="dxa"/>
          </w:tcPr>
          <w:p w14:paraId="23F455CC" w14:textId="25796CE6" w:rsidR="00530D3E" w:rsidRPr="00530D3E" w:rsidRDefault="00530D3E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="00655572"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3B313EDC" w14:textId="77777777" w:rsidTr="004D0CED">
        <w:tc>
          <w:tcPr>
            <w:tcW w:w="6209" w:type="dxa"/>
          </w:tcPr>
          <w:p w14:paraId="2FD1CE91" w14:textId="40E17470" w:rsidR="00655572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Finanční manažer</w:t>
            </w:r>
          </w:p>
        </w:tc>
        <w:tc>
          <w:tcPr>
            <w:tcW w:w="2863" w:type="dxa"/>
          </w:tcPr>
          <w:p w14:paraId="1EEE68A5" w14:textId="7E2352B6" w:rsidR="00655572" w:rsidRPr="00530D3E" w:rsidRDefault="0065557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1A9F5851" w14:textId="77777777" w:rsidTr="004D0CED">
        <w:tc>
          <w:tcPr>
            <w:tcW w:w="6209" w:type="dxa"/>
          </w:tcPr>
          <w:p w14:paraId="6B454B3F" w14:textId="450D6BC5" w:rsidR="00655572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Contract manažer</w:t>
            </w:r>
          </w:p>
        </w:tc>
        <w:tc>
          <w:tcPr>
            <w:tcW w:w="2863" w:type="dxa"/>
          </w:tcPr>
          <w:p w14:paraId="5C649B1C" w14:textId="0FE5C995" w:rsidR="00655572" w:rsidRPr="00530D3E" w:rsidRDefault="0065557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0B221370" w14:textId="77777777" w:rsidTr="004D0CED">
        <w:tc>
          <w:tcPr>
            <w:tcW w:w="6209" w:type="dxa"/>
          </w:tcPr>
          <w:p w14:paraId="6E0BD86A" w14:textId="3444B693" w:rsidR="00655572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lastRenderedPageBreak/>
              <w:t>Geotechnik</w:t>
            </w:r>
          </w:p>
        </w:tc>
        <w:tc>
          <w:tcPr>
            <w:tcW w:w="2863" w:type="dxa"/>
          </w:tcPr>
          <w:p w14:paraId="577A552A" w14:textId="63551185" w:rsidR="00655572" w:rsidRPr="00530D3E" w:rsidRDefault="0065557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2045A62F" w14:textId="77777777" w:rsidTr="004D0CED">
        <w:tc>
          <w:tcPr>
            <w:tcW w:w="6209" w:type="dxa"/>
          </w:tcPr>
          <w:p w14:paraId="355067BC" w14:textId="26BE9806" w:rsidR="00655572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Specialista na monolitické konstrukce</w:t>
            </w:r>
          </w:p>
        </w:tc>
        <w:tc>
          <w:tcPr>
            <w:tcW w:w="2863" w:type="dxa"/>
          </w:tcPr>
          <w:p w14:paraId="68A86C0A" w14:textId="5AC25E8B" w:rsidR="00655572" w:rsidRPr="00530D3E" w:rsidRDefault="0065557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12848C2F" w14:textId="77777777" w:rsidTr="004D0CED">
        <w:tc>
          <w:tcPr>
            <w:tcW w:w="6209" w:type="dxa"/>
          </w:tcPr>
          <w:p w14:paraId="2B0517CA" w14:textId="4AEED06C" w:rsidR="00655572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Kvalitář - Technolog</w:t>
            </w:r>
          </w:p>
        </w:tc>
        <w:tc>
          <w:tcPr>
            <w:tcW w:w="2863" w:type="dxa"/>
          </w:tcPr>
          <w:p w14:paraId="7D6E7B7E" w14:textId="6C26087E" w:rsidR="00655572" w:rsidRPr="00530D3E" w:rsidRDefault="0065557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10DA9714" w14:textId="77777777" w:rsidTr="004D0CED">
        <w:tc>
          <w:tcPr>
            <w:tcW w:w="6209" w:type="dxa"/>
          </w:tcPr>
          <w:p w14:paraId="71EFD4C9" w14:textId="77777777" w:rsidR="00655572" w:rsidRPr="00530D3E" w:rsidRDefault="00655572">
            <w:pPr>
              <w:pStyle w:val="Odstavecseseznamem"/>
              <w:numPr>
                <w:ilvl w:val="0"/>
                <w:numId w:val="68"/>
              </w:numPr>
              <w:spacing w:before="60" w:after="60" w:line="276" w:lineRule="auto"/>
              <w:ind w:left="314" w:hanging="314"/>
              <w:contextualSpacing w:val="0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Koordinátor BOZP</w:t>
            </w:r>
          </w:p>
        </w:tc>
        <w:tc>
          <w:tcPr>
            <w:tcW w:w="2863" w:type="dxa"/>
          </w:tcPr>
          <w:p w14:paraId="18C32120" w14:textId="7A24984C" w:rsidR="00655572" w:rsidRPr="00530D3E" w:rsidRDefault="0065557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DB425B" w:rsidRPr="00530D3E" w14:paraId="623451B8" w14:textId="77777777" w:rsidTr="004D0CED">
        <w:tc>
          <w:tcPr>
            <w:tcW w:w="6209" w:type="dxa"/>
          </w:tcPr>
          <w:p w14:paraId="304CE4A7" w14:textId="5FD10B02" w:rsidR="00DB425B" w:rsidRPr="00DB425B" w:rsidRDefault="00DB425B" w:rsidP="002849D2">
            <w:pPr>
              <w:spacing w:before="60" w:after="60" w:line="276" w:lineRule="auto"/>
              <w:jc w:val="both"/>
              <w:rPr>
                <w:rFonts w:ascii="Aptos" w:hAnsi="Aptos" w:cs="Tahoma"/>
                <w:i/>
                <w:sz w:val="22"/>
                <w:szCs w:val="22"/>
              </w:rPr>
            </w:pPr>
            <w:r w:rsidRPr="00DB425B">
              <w:rPr>
                <w:rFonts w:ascii="Aptos" w:hAnsi="Aptos" w:cs="Tahoma"/>
                <w:i/>
                <w:sz w:val="22"/>
                <w:szCs w:val="22"/>
              </w:rPr>
              <w:t>Aritmetický průměr hodinových sazeb členů týmu Správce stavby na pozicích trvale delegovaných v týmu Správce stavby ve Fázi poskytování služeb v záruční době Díla (1., 3.</w:t>
            </w:r>
            <w:r w:rsidR="0077605E">
              <w:rPr>
                <w:rFonts w:ascii="Aptos" w:hAnsi="Aptos" w:cs="Tahoma"/>
                <w:i/>
                <w:sz w:val="22"/>
                <w:szCs w:val="22"/>
              </w:rPr>
              <w:t>, 4.</w:t>
            </w:r>
            <w:r w:rsidRPr="00DB425B">
              <w:rPr>
                <w:rFonts w:ascii="Aptos" w:hAnsi="Aptos" w:cs="Tahoma"/>
                <w:i/>
                <w:sz w:val="22"/>
                <w:szCs w:val="22"/>
              </w:rPr>
              <w:t xml:space="preserve"> a 5.)</w:t>
            </w:r>
          </w:p>
          <w:p w14:paraId="498D3F2D" w14:textId="1E993E9D" w:rsidR="00DB425B" w:rsidRPr="002849D2" w:rsidRDefault="00DB425B" w:rsidP="002849D2">
            <w:pPr>
              <w:pStyle w:val="Odstavecseseznamem"/>
              <w:numPr>
                <w:ilvl w:val="0"/>
                <w:numId w:val="69"/>
              </w:numPr>
              <w:spacing w:before="60" w:after="60"/>
              <w:jc w:val="both"/>
              <w:rPr>
                <w:rFonts w:ascii="Aptos" w:hAnsi="Aptos" w:cs="Tahoma"/>
                <w:i/>
                <w:sz w:val="22"/>
                <w:szCs w:val="22"/>
                <w:u w:val="single"/>
              </w:rPr>
            </w:pPr>
            <w:r w:rsidRPr="002849D2">
              <w:rPr>
                <w:rFonts w:ascii="Aptos" w:hAnsi="Aptos" w:cs="Tahoma"/>
                <w:i/>
                <w:sz w:val="22"/>
                <w:szCs w:val="22"/>
                <w:u w:val="single"/>
              </w:rPr>
              <w:t>Pro stanovení Nabídkové ceny za plnění předmětu veřejné zakázky Fázi poskytování služeb v záruční době Díla</w:t>
            </w:r>
          </w:p>
        </w:tc>
        <w:tc>
          <w:tcPr>
            <w:tcW w:w="2863" w:type="dxa"/>
          </w:tcPr>
          <w:p w14:paraId="4ABD7B69" w14:textId="263EE670" w:rsidR="00DB425B" w:rsidRPr="00530D3E" w:rsidRDefault="00DB425B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DB425B">
              <w:rPr>
                <w:rFonts w:ascii="Aptos" w:hAnsi="Aptos" w:cs="Tahoma"/>
                <w:sz w:val="22"/>
                <w:szCs w:val="22"/>
              </w:rPr>
              <w:t>[</w:t>
            </w:r>
            <w:r w:rsidRPr="002849D2">
              <w:rPr>
                <w:rFonts w:ascii="Aptos" w:hAnsi="Aptos" w:cs="Tahoma"/>
                <w:sz w:val="22"/>
                <w:szCs w:val="22"/>
                <w:highlight w:val="yellow"/>
              </w:rPr>
              <w:t>doplní dodavatel</w:t>
            </w:r>
            <w:r w:rsidRPr="00DB425B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1D10F2C4" w14:textId="77777777" w:rsidTr="004D0CED">
        <w:tc>
          <w:tcPr>
            <w:tcW w:w="6209" w:type="dxa"/>
          </w:tcPr>
          <w:p w14:paraId="0B6A17EE" w14:textId="695F15A8" w:rsidR="00655572" w:rsidRPr="00530D3E" w:rsidRDefault="00655572" w:rsidP="002849D2">
            <w:pPr>
              <w:spacing w:before="60" w:after="60" w:line="276" w:lineRule="auto"/>
              <w:jc w:val="both"/>
              <w:rPr>
                <w:rFonts w:ascii="Aptos" w:hAnsi="Aptos" w:cs="Tahoma"/>
                <w:i/>
                <w:sz w:val="22"/>
                <w:szCs w:val="22"/>
              </w:rPr>
            </w:pPr>
            <w:r w:rsidRPr="00530D3E">
              <w:rPr>
                <w:rFonts w:ascii="Aptos" w:hAnsi="Aptos" w:cs="Tahoma"/>
                <w:i/>
                <w:sz w:val="22"/>
                <w:szCs w:val="22"/>
              </w:rPr>
              <w:t>Aritmetický průměr hodinových sazeb výše uvedených členů týmu</w:t>
            </w:r>
            <w:r w:rsidR="006C3863">
              <w:rPr>
                <w:rFonts w:ascii="Aptos" w:hAnsi="Aptos" w:cs="Tahoma"/>
                <w:i/>
                <w:sz w:val="22"/>
                <w:szCs w:val="22"/>
              </w:rPr>
              <w:t xml:space="preserve"> </w:t>
            </w:r>
            <w:r w:rsidRPr="00530D3E">
              <w:rPr>
                <w:rFonts w:ascii="Aptos" w:hAnsi="Aptos" w:cs="Tahoma"/>
                <w:i/>
                <w:sz w:val="22"/>
                <w:szCs w:val="22"/>
              </w:rPr>
              <w:t xml:space="preserve">Správce stavby na pozicích 2. až </w:t>
            </w:r>
            <w:r w:rsidR="00FA7F36">
              <w:rPr>
                <w:rFonts w:ascii="Aptos" w:hAnsi="Aptos" w:cs="Tahoma"/>
                <w:i/>
                <w:sz w:val="22"/>
                <w:szCs w:val="22"/>
              </w:rPr>
              <w:t>12</w:t>
            </w:r>
            <w:r w:rsidRPr="00530D3E">
              <w:rPr>
                <w:rFonts w:ascii="Aptos" w:hAnsi="Aptos" w:cs="Tahoma"/>
                <w:i/>
                <w:sz w:val="22"/>
                <w:szCs w:val="22"/>
              </w:rPr>
              <w:t>.</w:t>
            </w:r>
          </w:p>
        </w:tc>
        <w:tc>
          <w:tcPr>
            <w:tcW w:w="2863" w:type="dxa"/>
          </w:tcPr>
          <w:p w14:paraId="0024C11C" w14:textId="4B3CE161" w:rsidR="00655572" w:rsidRPr="00530D3E" w:rsidRDefault="0065557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 xml:space="preserve">doplní </w:t>
            </w:r>
            <w:r w:rsidRPr="00655572">
              <w:rPr>
                <w:rFonts w:ascii="Aptos" w:hAnsi="Aptos" w:cs="Tahoma"/>
                <w:sz w:val="22"/>
                <w:szCs w:val="22"/>
                <w:highlight w:val="yellow"/>
              </w:rPr>
              <w:t>dodavatel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  <w:tr w:rsidR="00655572" w:rsidRPr="00530D3E" w14:paraId="6F5B7506" w14:textId="77777777" w:rsidTr="004D0CED">
        <w:trPr>
          <w:trHeight w:val="64"/>
        </w:trPr>
        <w:tc>
          <w:tcPr>
            <w:tcW w:w="6209" w:type="dxa"/>
          </w:tcPr>
          <w:p w14:paraId="2E3E0766" w14:textId="01B575EA" w:rsidR="00655572" w:rsidRPr="00530D3E" w:rsidRDefault="00655572">
            <w:pPr>
              <w:spacing w:before="60" w:after="60" w:line="276" w:lineRule="auto"/>
              <w:rPr>
                <w:rFonts w:ascii="Aptos" w:hAnsi="Aptos" w:cs="Tahoma"/>
                <w:sz w:val="22"/>
                <w:szCs w:val="22"/>
              </w:rPr>
            </w:pPr>
            <w:r w:rsidRPr="00530D3E">
              <w:rPr>
                <w:rFonts w:ascii="Aptos" w:hAnsi="Aptos" w:cs="Tahoma"/>
                <w:sz w:val="22"/>
                <w:szCs w:val="22"/>
              </w:rPr>
              <w:t>[</w:t>
            </w:r>
            <w:r w:rsidRPr="00530D3E">
              <w:rPr>
                <w:rFonts w:ascii="Aptos" w:hAnsi="Aptos" w:cs="Tahoma"/>
                <w:sz w:val="22"/>
                <w:szCs w:val="22"/>
                <w:highlight w:val="yellow"/>
              </w:rPr>
              <w:t>K případnému doplnění dalších členů</w:t>
            </w:r>
            <w:r w:rsidRPr="00530D3E">
              <w:rPr>
                <w:rFonts w:ascii="Aptos" w:hAnsi="Aptos" w:cs="Tahoma"/>
                <w:sz w:val="22"/>
                <w:szCs w:val="22"/>
              </w:rPr>
              <w:t>]</w:t>
            </w:r>
          </w:p>
        </w:tc>
        <w:tc>
          <w:tcPr>
            <w:tcW w:w="2863" w:type="dxa"/>
          </w:tcPr>
          <w:p w14:paraId="1CAE8CC7" w14:textId="034D047C" w:rsidR="00655572" w:rsidRPr="00530D3E" w:rsidRDefault="002849D2">
            <w:pPr>
              <w:spacing w:before="60" w:after="60"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2849D2">
              <w:rPr>
                <w:rFonts w:ascii="Aptos" w:hAnsi="Aptos" w:cs="Tahoma"/>
                <w:sz w:val="22"/>
                <w:szCs w:val="22"/>
              </w:rPr>
              <w:t>[</w:t>
            </w:r>
            <w:r w:rsidRPr="002849D2">
              <w:rPr>
                <w:rFonts w:ascii="Aptos" w:hAnsi="Aptos" w:cs="Tahoma"/>
                <w:sz w:val="22"/>
                <w:szCs w:val="22"/>
                <w:highlight w:val="yellow"/>
              </w:rPr>
              <w:t>doplní dodavatel</w:t>
            </w:r>
            <w:r w:rsidRPr="002849D2">
              <w:rPr>
                <w:rFonts w:ascii="Aptos" w:hAnsi="Aptos" w:cs="Tahoma"/>
                <w:sz w:val="22"/>
                <w:szCs w:val="22"/>
              </w:rPr>
              <w:t>]</w:t>
            </w:r>
          </w:p>
        </w:tc>
      </w:tr>
    </w:tbl>
    <w:p w14:paraId="3295B624" w14:textId="28B33DC4" w:rsidR="00496D71" w:rsidRDefault="00496D71" w:rsidP="004D0CED">
      <w:pPr>
        <w:pStyle w:val="Zkladntext21"/>
        <w:keepNext/>
        <w:numPr>
          <w:ilvl w:val="0"/>
          <w:numId w:val="66"/>
        </w:numPr>
        <w:spacing w:before="120" w:after="60" w:line="276" w:lineRule="auto"/>
        <w:ind w:left="567" w:hanging="567"/>
        <w:jc w:val="both"/>
        <w:rPr>
          <w:rFonts w:ascii="Aptos" w:eastAsia="Calibri" w:hAnsi="Aptos" w:cs="Arial"/>
          <w:bCs/>
          <w:spacing w:val="5"/>
          <w:sz w:val="22"/>
          <w:szCs w:val="22"/>
          <w:lang w:eastAsia="en-US"/>
        </w:rPr>
      </w:pPr>
      <w:r w:rsidRPr="00496D71">
        <w:rPr>
          <w:rFonts w:ascii="Aptos" w:eastAsia="Calibri" w:hAnsi="Aptos" w:cs="Arial"/>
          <w:bCs/>
          <w:spacing w:val="5"/>
          <w:sz w:val="22"/>
          <w:szCs w:val="22"/>
          <w:lang w:eastAsia="en-US" w:bidi="cs-CZ"/>
        </w:rPr>
        <w:t>Poplatky za financování</w:t>
      </w:r>
    </w:p>
    <w:p w14:paraId="096B5400" w14:textId="43967AEE" w:rsidR="00496D71" w:rsidRDefault="00496D71" w:rsidP="00161303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Style w:val="Nzevknihy"/>
          <w:rFonts w:ascii="Aptos" w:eastAsia="Calibri" w:hAnsi="Aptos" w:cs="Arial"/>
          <w:b w:val="0"/>
          <w:smallCaps w:val="0"/>
          <w:sz w:val="22"/>
          <w:szCs w:val="22"/>
          <w:lang w:eastAsia="en-US"/>
        </w:rPr>
      </w:pPr>
      <w:r w:rsidRPr="00496D71">
        <w:rPr>
          <w:rFonts w:ascii="Aptos" w:eastAsia="Calibri" w:hAnsi="Aptos" w:cs="Arial"/>
          <w:bCs/>
          <w:spacing w:val="5"/>
          <w:sz w:val="22"/>
          <w:szCs w:val="22"/>
          <w:lang w:eastAsia="en-US" w:bidi="cs-CZ"/>
        </w:rPr>
        <w:t>Poplatky za financování se rozumí úrok z prodlení ve výši stanovené Právními předpisy</w:t>
      </w:r>
      <w:r>
        <w:rPr>
          <w:rFonts w:ascii="Aptos" w:eastAsia="Calibri" w:hAnsi="Aptos" w:cs="Arial"/>
          <w:bCs/>
          <w:spacing w:val="5"/>
          <w:sz w:val="22"/>
          <w:szCs w:val="22"/>
          <w:lang w:eastAsia="en-US" w:bidi="cs-CZ"/>
        </w:rPr>
        <w:t xml:space="preserve">, a to nařízení vlády č. 351/2013 Sb., </w:t>
      </w:r>
      <w:r w:rsidRPr="00496D71">
        <w:rPr>
          <w:rFonts w:ascii="Aptos" w:eastAsia="Calibri" w:hAnsi="Aptos" w:cs="Arial"/>
          <w:bCs/>
          <w:spacing w:val="5"/>
          <w:sz w:val="22"/>
          <w:szCs w:val="22"/>
          <w:lang w:eastAsia="en-US" w:bidi="cs-CZ"/>
        </w:rPr>
        <w:t>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</w:t>
      </w:r>
      <w:r>
        <w:rPr>
          <w:rFonts w:ascii="Aptos" w:eastAsia="Calibri" w:hAnsi="Aptos" w:cs="Arial"/>
          <w:bCs/>
          <w:spacing w:val="5"/>
          <w:sz w:val="22"/>
          <w:szCs w:val="22"/>
          <w:lang w:eastAsia="en-US" w:bidi="cs-CZ"/>
        </w:rPr>
        <w:t>, v platném znění, či jiný Právní předpis, který jej v budoucnu nahradí.</w:t>
      </w:r>
    </w:p>
    <w:p w14:paraId="0B8C20FC" w14:textId="2F0A20B6" w:rsidR="00A77DEA" w:rsidRPr="00496D71" w:rsidRDefault="00496D71" w:rsidP="004D0CED">
      <w:pPr>
        <w:pStyle w:val="Zkladntext21"/>
        <w:keepNext/>
        <w:numPr>
          <w:ilvl w:val="0"/>
          <w:numId w:val="66"/>
        </w:numPr>
        <w:spacing w:before="120" w:after="60" w:line="276" w:lineRule="auto"/>
        <w:ind w:left="567" w:hanging="567"/>
        <w:jc w:val="both"/>
        <w:rPr>
          <w:rStyle w:val="Nzevknihy"/>
          <w:rFonts w:ascii="Aptos" w:eastAsia="Calibri" w:hAnsi="Aptos" w:cs="Arial"/>
          <w:b/>
          <w:smallCaps w:val="0"/>
          <w:sz w:val="22"/>
          <w:szCs w:val="22"/>
          <w:lang w:eastAsia="en-US"/>
        </w:rPr>
      </w:pPr>
      <w:r w:rsidRPr="00496D71">
        <w:rPr>
          <w:rStyle w:val="Nzevknihy"/>
          <w:rFonts w:ascii="Aptos" w:eastAsia="Calibri" w:hAnsi="Aptos" w:cs="Arial"/>
          <w:b/>
          <w:smallCaps w:val="0"/>
          <w:sz w:val="22"/>
          <w:szCs w:val="22"/>
          <w:lang w:eastAsia="en-US"/>
        </w:rPr>
        <w:t>Měna platby</w:t>
      </w:r>
    </w:p>
    <w:p w14:paraId="0E6E39D5" w14:textId="57F2FE16" w:rsidR="00496D71" w:rsidRPr="00496D71" w:rsidRDefault="00496D71">
      <w:pPr>
        <w:pStyle w:val="Odstavecseseznamem"/>
        <w:numPr>
          <w:ilvl w:val="0"/>
          <w:numId w:val="67"/>
        </w:numPr>
        <w:spacing w:after="120" w:line="276" w:lineRule="auto"/>
        <w:ind w:left="567" w:hanging="567"/>
        <w:contextualSpacing w:val="0"/>
        <w:jc w:val="both"/>
        <w:rPr>
          <w:rStyle w:val="Nzevknihy"/>
          <w:rFonts w:ascii="Aptos" w:eastAsia="Calibri" w:hAnsi="Aptos" w:cs="Arial"/>
          <w:b w:val="0"/>
          <w:smallCaps w:val="0"/>
          <w:sz w:val="22"/>
          <w:szCs w:val="22"/>
          <w:lang w:eastAsia="en-US"/>
        </w:rPr>
      </w:pPr>
      <w:r w:rsidRPr="00496D71">
        <w:rPr>
          <w:rStyle w:val="Nzevknihy"/>
          <w:rFonts w:ascii="Aptos" w:eastAsia="Calibri" w:hAnsi="Aptos" w:cs="Arial"/>
          <w:b w:val="0"/>
          <w:smallCaps w:val="0"/>
          <w:sz w:val="22"/>
          <w:szCs w:val="22"/>
          <w:lang w:eastAsia="en-US"/>
        </w:rPr>
        <w:t>Měna plateb, které je možné podle Smlouvy použít, je koruna česká</w:t>
      </w:r>
      <w:r>
        <w:rPr>
          <w:rStyle w:val="Nzevknihy"/>
          <w:rFonts w:ascii="Aptos" w:eastAsia="Calibri" w:hAnsi="Aptos" w:cs="Arial"/>
          <w:b w:val="0"/>
          <w:smallCaps w:val="0"/>
          <w:sz w:val="22"/>
          <w:szCs w:val="22"/>
          <w:lang w:eastAsia="en-US"/>
        </w:rPr>
        <w:t xml:space="preserve"> (CZK)</w:t>
      </w:r>
      <w:r w:rsidRPr="00496D71">
        <w:rPr>
          <w:rStyle w:val="Nzevknihy"/>
          <w:rFonts w:ascii="Aptos" w:eastAsia="Calibri" w:hAnsi="Aptos" w:cs="Arial"/>
          <w:b w:val="0"/>
          <w:smallCaps w:val="0"/>
          <w:sz w:val="22"/>
          <w:szCs w:val="22"/>
          <w:lang w:eastAsia="en-US"/>
        </w:rPr>
        <w:t>.</w:t>
      </w:r>
    </w:p>
    <w:sectPr w:rsidR="00496D71" w:rsidRPr="00496D71" w:rsidSect="004505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5416" w14:textId="77777777" w:rsidR="00F16110" w:rsidRDefault="00F16110" w:rsidP="00C4650D">
      <w:r>
        <w:separator/>
      </w:r>
    </w:p>
  </w:endnote>
  <w:endnote w:type="continuationSeparator" w:id="0">
    <w:p w14:paraId="5186698D" w14:textId="77777777" w:rsidR="00F16110" w:rsidRDefault="00F16110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-2089450129"/>
      <w:docPartObj>
        <w:docPartGallery w:val="Page Numbers (Bottom of Page)"/>
        <w:docPartUnique/>
      </w:docPartObj>
    </w:sdtPr>
    <w:sdtEndPr>
      <w:rPr>
        <w:rFonts w:eastAsiaTheme="minorHAnsi"/>
        <w:noProof/>
        <w:szCs w:val="20"/>
        <w:lang w:eastAsia="en-US"/>
      </w:rPr>
    </w:sdtEndPr>
    <w:sdtContent>
      <w:p w14:paraId="290C549F" w14:textId="77777777" w:rsidR="00CE0D2A" w:rsidRPr="005C4C78" w:rsidRDefault="00171473" w:rsidP="00C4650D">
        <w:pPr>
          <w:pStyle w:val="Zpat"/>
          <w:jc w:val="center"/>
          <w:rPr>
            <w:rFonts w:ascii="Aptos" w:eastAsiaTheme="minorHAnsi" w:hAnsi="Aptos"/>
            <w:noProof/>
            <w:sz w:val="22"/>
            <w:szCs w:val="20"/>
            <w:lang w:eastAsia="en-US"/>
          </w:rPr>
        </w:pPr>
        <w:r w:rsidRPr="005C4C78">
          <w:rPr>
            <w:rFonts w:ascii="Aptos" w:eastAsiaTheme="minorHAnsi" w:hAnsi="Aptos"/>
            <w:noProof/>
            <w:sz w:val="22"/>
            <w:szCs w:val="20"/>
            <w:lang w:eastAsia="en-US"/>
          </w:rPr>
          <w:fldChar w:fldCharType="begin"/>
        </w:r>
        <w:r w:rsidR="00CE0D2A" w:rsidRPr="005C4C78">
          <w:rPr>
            <w:rFonts w:ascii="Aptos" w:eastAsiaTheme="minorHAnsi" w:hAnsi="Aptos"/>
            <w:noProof/>
            <w:sz w:val="22"/>
            <w:szCs w:val="20"/>
            <w:lang w:eastAsia="en-US"/>
          </w:rPr>
          <w:instrText>PAGE   \* MERGEFORMAT</w:instrText>
        </w:r>
        <w:r w:rsidRPr="005C4C78">
          <w:rPr>
            <w:rFonts w:ascii="Aptos" w:eastAsiaTheme="minorHAnsi" w:hAnsi="Aptos"/>
            <w:noProof/>
            <w:sz w:val="22"/>
            <w:szCs w:val="20"/>
            <w:lang w:eastAsia="en-US"/>
          </w:rPr>
          <w:fldChar w:fldCharType="separate"/>
        </w:r>
        <w:r w:rsidR="001D5F62" w:rsidRPr="005C4C78">
          <w:rPr>
            <w:rFonts w:ascii="Aptos" w:eastAsiaTheme="minorHAnsi" w:hAnsi="Aptos"/>
            <w:noProof/>
            <w:sz w:val="22"/>
            <w:szCs w:val="20"/>
            <w:lang w:eastAsia="en-US"/>
          </w:rPr>
          <w:t>7</w:t>
        </w:r>
        <w:r w:rsidRPr="005C4C78">
          <w:rPr>
            <w:rFonts w:ascii="Aptos" w:eastAsiaTheme="minorHAnsi" w:hAnsi="Aptos"/>
            <w:noProof/>
            <w:sz w:val="22"/>
            <w:szCs w:val="20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702245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689D60B6" w14:textId="77777777" w:rsidR="00CE0D2A" w:rsidRPr="00921A57" w:rsidRDefault="00171473" w:rsidP="00C4650D">
        <w:pPr>
          <w:pStyle w:val="Zpat"/>
          <w:jc w:val="center"/>
          <w:rPr>
            <w:rFonts w:ascii="Aptos" w:hAnsi="Aptos"/>
            <w:sz w:val="22"/>
            <w:szCs w:val="22"/>
          </w:rPr>
        </w:pPr>
        <w:r w:rsidRPr="00921A57">
          <w:rPr>
            <w:rFonts w:ascii="Aptos" w:hAnsi="Aptos"/>
            <w:sz w:val="22"/>
            <w:szCs w:val="22"/>
          </w:rPr>
          <w:fldChar w:fldCharType="begin"/>
        </w:r>
        <w:r w:rsidR="00CE0D2A" w:rsidRPr="00921A57">
          <w:rPr>
            <w:rFonts w:ascii="Aptos" w:hAnsi="Aptos"/>
            <w:sz w:val="22"/>
            <w:szCs w:val="22"/>
          </w:rPr>
          <w:instrText>PAGE   \* MERGEFORMAT</w:instrText>
        </w:r>
        <w:r w:rsidRPr="00921A57">
          <w:rPr>
            <w:rFonts w:ascii="Aptos" w:hAnsi="Aptos"/>
            <w:sz w:val="22"/>
            <w:szCs w:val="22"/>
          </w:rPr>
          <w:fldChar w:fldCharType="separate"/>
        </w:r>
        <w:r w:rsidR="00CE0D2A" w:rsidRPr="00921A57">
          <w:rPr>
            <w:rFonts w:ascii="Aptos" w:hAnsi="Aptos"/>
            <w:noProof/>
            <w:sz w:val="22"/>
            <w:szCs w:val="22"/>
          </w:rPr>
          <w:t>1</w:t>
        </w:r>
        <w:r w:rsidRPr="00921A57">
          <w:rPr>
            <w:rFonts w:ascii="Aptos" w:hAnsi="Aptos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2BED" w14:textId="77777777" w:rsidR="00F16110" w:rsidRDefault="00F16110" w:rsidP="00C4650D">
      <w:r>
        <w:separator/>
      </w:r>
    </w:p>
  </w:footnote>
  <w:footnote w:type="continuationSeparator" w:id="0">
    <w:p w14:paraId="3856FCDD" w14:textId="77777777" w:rsidR="00F16110" w:rsidRDefault="00F16110" w:rsidP="00C4650D">
      <w:r>
        <w:continuationSeparator/>
      </w:r>
    </w:p>
  </w:footnote>
  <w:footnote w:id="1">
    <w:p w14:paraId="17657DB4" w14:textId="5E5BAC82" w:rsidR="005C4C78" w:rsidRPr="00530D3E" w:rsidRDefault="005C4C78" w:rsidP="00530D3E">
      <w:pPr>
        <w:pStyle w:val="Textpoznpodarou"/>
        <w:spacing w:after="30" w:line="276" w:lineRule="auto"/>
        <w:jc w:val="both"/>
        <w:rPr>
          <w:rFonts w:ascii="Aptos" w:hAnsi="Aptos" w:cs="Arial"/>
          <w:sz w:val="18"/>
          <w:szCs w:val="18"/>
        </w:rPr>
      </w:pPr>
      <w:r w:rsidRPr="00530D3E">
        <w:rPr>
          <w:rStyle w:val="Znakapoznpodarou"/>
          <w:rFonts w:ascii="Aptos" w:hAnsi="Aptos" w:cs="Arial"/>
          <w:sz w:val="18"/>
          <w:szCs w:val="18"/>
        </w:rPr>
        <w:footnoteRef/>
      </w:r>
      <w:r w:rsidRPr="00530D3E">
        <w:rPr>
          <w:rFonts w:ascii="Aptos" w:hAnsi="Aptos" w:cs="Arial"/>
          <w:sz w:val="18"/>
          <w:szCs w:val="18"/>
        </w:rPr>
        <w:t xml:space="preserve"> Tam, kde tato Příloha 3 hovoří o týmu Správce stavby, rozumí se tím Konzultant ve smyslu Smlouvy. Tam</w:t>
      </w:r>
      <w:r w:rsidR="00E900BD">
        <w:rPr>
          <w:rFonts w:ascii="Aptos" w:hAnsi="Aptos" w:cs="Arial"/>
          <w:sz w:val="18"/>
          <w:szCs w:val="18"/>
        </w:rPr>
        <w:t>,</w:t>
      </w:r>
      <w:r w:rsidRPr="00530D3E">
        <w:rPr>
          <w:rFonts w:ascii="Aptos" w:hAnsi="Aptos" w:cs="Arial"/>
          <w:sz w:val="18"/>
          <w:szCs w:val="18"/>
        </w:rPr>
        <w:t xml:space="preserve"> kde se v této Příloze 3 hovoří o výkonu činnosti </w:t>
      </w:r>
      <w:r w:rsidR="00E900BD">
        <w:rPr>
          <w:rFonts w:ascii="Aptos" w:hAnsi="Aptos" w:cs="Arial"/>
          <w:sz w:val="18"/>
          <w:szCs w:val="18"/>
        </w:rPr>
        <w:t>S</w:t>
      </w:r>
      <w:r w:rsidRPr="00530D3E">
        <w:rPr>
          <w:rFonts w:ascii="Aptos" w:hAnsi="Aptos" w:cs="Arial"/>
          <w:sz w:val="18"/>
          <w:szCs w:val="18"/>
        </w:rPr>
        <w:t>právce stavby, rozumí se tím výkon činnosti Konzultanta.</w:t>
      </w:r>
    </w:p>
  </w:footnote>
  <w:footnote w:id="2">
    <w:p w14:paraId="0884D8E8" w14:textId="77777777" w:rsidR="005C4C78" w:rsidRPr="00530D3E" w:rsidRDefault="005C4C78" w:rsidP="00530D3E">
      <w:pPr>
        <w:pStyle w:val="Textpoznpodarou"/>
        <w:spacing w:after="30" w:line="276" w:lineRule="auto"/>
        <w:jc w:val="both"/>
        <w:rPr>
          <w:rFonts w:ascii="Aptos" w:hAnsi="Aptos" w:cs="Arial"/>
          <w:sz w:val="18"/>
          <w:szCs w:val="18"/>
        </w:rPr>
      </w:pPr>
      <w:r w:rsidRPr="00530D3E">
        <w:rPr>
          <w:rStyle w:val="Znakapoznpodarou"/>
          <w:rFonts w:ascii="Aptos" w:hAnsi="Aptos" w:cs="Arial"/>
          <w:sz w:val="18"/>
          <w:szCs w:val="18"/>
        </w:rPr>
        <w:footnoteRef/>
      </w:r>
      <w:r w:rsidRPr="00530D3E">
        <w:rPr>
          <w:rFonts w:ascii="Aptos" w:hAnsi="Aptos" w:cs="Arial"/>
          <w:sz w:val="18"/>
          <w:szCs w:val="18"/>
        </w:rPr>
        <w:t xml:space="preserve"> Částky uvedené v tabulce odpovídají nabídkovým cenám uvedeným v Nabídce Konzultanta předložené v Zadávacím řízení.</w:t>
      </w:r>
    </w:p>
  </w:footnote>
  <w:footnote w:id="3">
    <w:p w14:paraId="31D1FAA5" w14:textId="7CFC4FD5" w:rsidR="00E95B10" w:rsidRPr="00AE5D5A" w:rsidRDefault="00E95B10" w:rsidP="00AE5D5A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AE5D5A">
        <w:rPr>
          <w:rStyle w:val="Znakapoznpodarou"/>
          <w:rFonts w:ascii="Aptos" w:hAnsi="Aptos"/>
          <w:sz w:val="18"/>
          <w:szCs w:val="18"/>
        </w:rPr>
        <w:footnoteRef/>
      </w:r>
      <w:r w:rsidRPr="00AE5D5A">
        <w:rPr>
          <w:rFonts w:ascii="Aptos" w:hAnsi="Aptos"/>
          <w:sz w:val="18"/>
          <w:szCs w:val="18"/>
        </w:rPr>
        <w:t xml:space="preserve"> Objednatel předpokládá průměrnou </w:t>
      </w:r>
      <w:r w:rsidR="009F60C6">
        <w:rPr>
          <w:rFonts w:ascii="Aptos" w:hAnsi="Aptos"/>
          <w:sz w:val="18"/>
          <w:szCs w:val="18"/>
        </w:rPr>
        <w:t>čtvrtletní</w:t>
      </w:r>
      <w:r w:rsidR="009F60C6" w:rsidRPr="00AE5D5A">
        <w:rPr>
          <w:rFonts w:ascii="Aptos" w:hAnsi="Aptos"/>
          <w:sz w:val="18"/>
          <w:szCs w:val="18"/>
        </w:rPr>
        <w:t xml:space="preserve"> </w:t>
      </w:r>
      <w:r w:rsidRPr="00AE5D5A">
        <w:rPr>
          <w:rFonts w:ascii="Aptos" w:hAnsi="Aptos"/>
          <w:sz w:val="18"/>
          <w:szCs w:val="18"/>
        </w:rPr>
        <w:t xml:space="preserve">hodinovou náročnost v rozsahu 10 hodin </w:t>
      </w:r>
      <w:r>
        <w:rPr>
          <w:rFonts w:ascii="Aptos" w:hAnsi="Aptos"/>
          <w:sz w:val="18"/>
          <w:szCs w:val="18"/>
        </w:rPr>
        <w:t xml:space="preserve">(tj. celkem </w:t>
      </w:r>
      <w:r w:rsidR="00DB06A4">
        <w:rPr>
          <w:rFonts w:ascii="Aptos" w:hAnsi="Aptos"/>
          <w:sz w:val="18"/>
          <w:szCs w:val="18"/>
        </w:rPr>
        <w:t>200</w:t>
      </w:r>
      <w:r w:rsidR="009F60C6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hodin)</w:t>
      </w:r>
      <w:r w:rsidRPr="00AE5D5A">
        <w:rPr>
          <w:rFonts w:ascii="Aptos" w:hAnsi="Aptos"/>
          <w:sz w:val="18"/>
          <w:szCs w:val="18"/>
        </w:rPr>
        <w:t>.</w:t>
      </w:r>
      <w:r w:rsidR="009F60C6">
        <w:rPr>
          <w:rFonts w:ascii="Aptos" w:hAnsi="Aptos"/>
          <w:sz w:val="18"/>
          <w:szCs w:val="18"/>
        </w:rPr>
        <w:t xml:space="preserve"> Nad</w:t>
      </w:r>
      <w:r w:rsidR="00DB06A4">
        <w:rPr>
          <w:rFonts w:ascii="Aptos" w:hAnsi="Aptos"/>
          <w:sz w:val="18"/>
          <w:szCs w:val="18"/>
        </w:rPr>
        <w:t> </w:t>
      </w:r>
      <w:r w:rsidR="009F60C6">
        <w:rPr>
          <w:rFonts w:ascii="Aptos" w:hAnsi="Aptos"/>
          <w:sz w:val="18"/>
          <w:szCs w:val="18"/>
        </w:rPr>
        <w:t>rámec tohoto předpokladu Objednatel připouští případnou časovou rezervu v rozsahu 50 %, tj. v souhrnu 300 hodin.</w:t>
      </w:r>
    </w:p>
  </w:footnote>
  <w:footnote w:id="4">
    <w:p w14:paraId="691E7A93" w14:textId="3A08C9C0" w:rsidR="00DB425B" w:rsidRPr="002849D2" w:rsidRDefault="00DB425B" w:rsidP="002849D2">
      <w:pPr>
        <w:pStyle w:val="Textpoznpodarou"/>
        <w:spacing w:after="30" w:line="276" w:lineRule="auto"/>
        <w:jc w:val="both"/>
        <w:rPr>
          <w:rFonts w:ascii="Aptos" w:hAnsi="Aptos"/>
          <w:bCs/>
          <w:sz w:val="18"/>
          <w:szCs w:val="18"/>
        </w:rPr>
      </w:pPr>
      <w:r w:rsidRPr="002849D2">
        <w:rPr>
          <w:rStyle w:val="Znakapoznpodarou"/>
          <w:rFonts w:ascii="Aptos" w:hAnsi="Aptos"/>
          <w:sz w:val="18"/>
          <w:szCs w:val="18"/>
        </w:rPr>
        <w:footnoteRef/>
      </w:r>
      <w:r w:rsidRPr="002849D2">
        <w:rPr>
          <w:rFonts w:ascii="Aptos" w:hAnsi="Aptos"/>
          <w:sz w:val="18"/>
          <w:szCs w:val="18"/>
        </w:rPr>
        <w:t xml:space="preserve"> Objednatel pro vyloučení pochybností uvádí, že se jedná o členy týmu Správce stavby na pozicích i) Správce stavby - Koordinátor týmu Správce stavby, ii) </w:t>
      </w:r>
      <w:r w:rsidRPr="002849D2">
        <w:rPr>
          <w:rFonts w:ascii="Aptos" w:hAnsi="Aptos"/>
          <w:bCs/>
          <w:sz w:val="18"/>
          <w:szCs w:val="18"/>
        </w:rPr>
        <w:t>Projektant – Specialista na vodohospodářské stavby</w:t>
      </w:r>
      <w:r w:rsidR="0077605E">
        <w:rPr>
          <w:rFonts w:ascii="Aptos" w:hAnsi="Aptos"/>
          <w:bCs/>
          <w:sz w:val="18"/>
          <w:szCs w:val="18"/>
        </w:rPr>
        <w:t>, iii)</w:t>
      </w:r>
      <w:r w:rsidRPr="002849D2">
        <w:rPr>
          <w:rFonts w:ascii="Aptos" w:hAnsi="Aptos"/>
          <w:bCs/>
          <w:sz w:val="18"/>
          <w:szCs w:val="18"/>
        </w:rPr>
        <w:t xml:space="preserve"> </w:t>
      </w:r>
      <w:r w:rsidR="0077605E" w:rsidRPr="0077605E">
        <w:rPr>
          <w:rFonts w:ascii="Aptos" w:eastAsia="Times New Roman" w:hAnsi="Aptos" w:cs="Tahoma"/>
          <w:sz w:val="22"/>
          <w:szCs w:val="22"/>
          <w:lang w:eastAsia="cs-CZ"/>
        </w:rPr>
        <w:t xml:space="preserve"> </w:t>
      </w:r>
      <w:r w:rsidR="0077605E" w:rsidRPr="0077605E">
        <w:rPr>
          <w:rFonts w:ascii="Aptos" w:hAnsi="Aptos"/>
          <w:bCs/>
          <w:sz w:val="18"/>
          <w:szCs w:val="18"/>
        </w:rPr>
        <w:t xml:space="preserve">Technický dozor – specialista na vodohospodářské stavby </w:t>
      </w:r>
      <w:r w:rsidRPr="002849D2">
        <w:rPr>
          <w:rFonts w:ascii="Aptos" w:hAnsi="Aptos"/>
          <w:bCs/>
          <w:sz w:val="18"/>
          <w:szCs w:val="18"/>
        </w:rPr>
        <w:t>a i</w:t>
      </w:r>
      <w:r w:rsidR="0077605E">
        <w:rPr>
          <w:rFonts w:ascii="Aptos" w:hAnsi="Aptos"/>
          <w:bCs/>
          <w:sz w:val="18"/>
          <w:szCs w:val="18"/>
        </w:rPr>
        <w:t>v</w:t>
      </w:r>
      <w:r w:rsidRPr="002849D2">
        <w:rPr>
          <w:rFonts w:ascii="Aptos" w:hAnsi="Aptos"/>
          <w:bCs/>
          <w:sz w:val="18"/>
          <w:szCs w:val="18"/>
        </w:rPr>
        <w:t>) Specialista na technologická zařízení staveb</w:t>
      </w:r>
      <w:r w:rsidR="001C4129">
        <w:rPr>
          <w:rFonts w:ascii="Aptos" w:hAnsi="Aptos"/>
          <w:bCs/>
          <w:sz w:val="18"/>
          <w:szCs w:val="18"/>
        </w:rPr>
        <w:t>; tyto osoby budou v rámci týmu Správce stavby ve Fázi poskytování služeb v záruční době Díla delegování pro účely jejich účasti na kontrolních dnech.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4DDA" w14:textId="67928525" w:rsidR="008B18CF" w:rsidRPr="008B18CF" w:rsidRDefault="008B18CF" w:rsidP="008B18CF">
    <w:pPr>
      <w:pStyle w:val="Zhlav"/>
      <w:jc w:val="both"/>
      <w:rPr>
        <w:rFonts w:ascii="Aptos" w:hAnsi="Aptos" w:cs="Arial"/>
        <w:b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7F03" w14:textId="26432EE0" w:rsidR="0045051D" w:rsidRPr="0045051D" w:rsidRDefault="0045051D" w:rsidP="0045051D">
    <w:pPr>
      <w:pStyle w:val="Zhlav"/>
      <w:jc w:val="both"/>
      <w:rPr>
        <w:rFonts w:ascii="Aptos" w:hAnsi="Aptos" w:cs="Arial"/>
        <w:b/>
        <w:bCs/>
        <w:sz w:val="22"/>
      </w:rPr>
    </w:pPr>
    <w:r>
      <w:rPr>
        <w:rFonts w:ascii="Aptos" w:hAnsi="Aptos" w:cs="Tahoma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6C10B52" wp14:editId="6E7CA445">
          <wp:simplePos x="0" y="0"/>
          <wp:positionH relativeFrom="margin">
            <wp:align>left</wp:align>
          </wp:positionH>
          <wp:positionV relativeFrom="paragraph">
            <wp:posOffset>196948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8CF">
      <w:rPr>
        <w:rFonts w:ascii="Aptos" w:hAnsi="Aptos" w:cs="Arial"/>
        <w:b/>
        <w:bCs/>
        <w:sz w:val="22"/>
      </w:rPr>
      <w:t xml:space="preserve">Příloha č. 3 ZD – </w:t>
    </w:r>
    <w:r w:rsidR="00876222">
      <w:rPr>
        <w:rFonts w:ascii="Aptos" w:hAnsi="Aptos" w:cs="Arial"/>
        <w:b/>
        <w:bCs/>
        <w:sz w:val="22"/>
      </w:rPr>
      <w:t xml:space="preserve">Příloha 3 Zvláštních podmínek </w:t>
    </w:r>
    <w:r w:rsidR="00E94F8C">
      <w:rPr>
        <w:rFonts w:ascii="Aptos" w:hAnsi="Aptos" w:cs="Arial"/>
        <w:b/>
        <w:bCs/>
        <w:sz w:val="22"/>
      </w:rPr>
      <w:t>(</w:t>
    </w:r>
    <w:r w:rsidRPr="008B18CF">
      <w:rPr>
        <w:rFonts w:ascii="Aptos" w:hAnsi="Aptos" w:cs="Arial"/>
        <w:b/>
        <w:bCs/>
        <w:sz w:val="22"/>
      </w:rPr>
      <w:t>Odměna a platba</w:t>
    </w:r>
    <w:r w:rsidR="00E94F8C">
      <w:rPr>
        <w:rFonts w:ascii="Aptos" w:hAnsi="Aptos" w:cs="Arial"/>
        <w:b/>
        <w:bCs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0950416"/>
    <w:multiLevelType w:val="hybridMultilevel"/>
    <w:tmpl w:val="F83E0B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C738D"/>
    <w:multiLevelType w:val="hybridMultilevel"/>
    <w:tmpl w:val="F102A0C2"/>
    <w:lvl w:ilvl="0" w:tplc="F42CF698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87D"/>
    <w:multiLevelType w:val="hybridMultilevel"/>
    <w:tmpl w:val="9AB0DD1A"/>
    <w:lvl w:ilvl="0" w:tplc="1C5C6F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31E31"/>
    <w:multiLevelType w:val="hybridMultilevel"/>
    <w:tmpl w:val="4BD69F0C"/>
    <w:lvl w:ilvl="0" w:tplc="3E406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D10C7"/>
    <w:multiLevelType w:val="multilevel"/>
    <w:tmpl w:val="9D66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BE4DB6"/>
    <w:multiLevelType w:val="hybridMultilevel"/>
    <w:tmpl w:val="6BCE1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2572A"/>
    <w:multiLevelType w:val="multilevel"/>
    <w:tmpl w:val="4288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DF5B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DDD14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F17756"/>
    <w:multiLevelType w:val="hybridMultilevel"/>
    <w:tmpl w:val="2A94F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7FAF"/>
    <w:multiLevelType w:val="hybridMultilevel"/>
    <w:tmpl w:val="43E05676"/>
    <w:lvl w:ilvl="0" w:tplc="57584A1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661E0"/>
    <w:multiLevelType w:val="multilevel"/>
    <w:tmpl w:val="4FBC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634884"/>
    <w:multiLevelType w:val="hybridMultilevel"/>
    <w:tmpl w:val="59E8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87D92"/>
    <w:multiLevelType w:val="multilevel"/>
    <w:tmpl w:val="2DCA101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AA5782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964D1"/>
    <w:multiLevelType w:val="hybridMultilevel"/>
    <w:tmpl w:val="C4C430A2"/>
    <w:lvl w:ilvl="0" w:tplc="4280A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9260C"/>
    <w:multiLevelType w:val="hybridMultilevel"/>
    <w:tmpl w:val="C9FEBAB2"/>
    <w:lvl w:ilvl="0" w:tplc="195899C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1CE22EF3"/>
    <w:multiLevelType w:val="multilevel"/>
    <w:tmpl w:val="8AE0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E3A4A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6843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781E1F"/>
    <w:multiLevelType w:val="multilevel"/>
    <w:tmpl w:val="41F0F4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837"/>
        </w:tabs>
        <w:ind w:left="383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22CC25A7"/>
    <w:multiLevelType w:val="hybridMultilevel"/>
    <w:tmpl w:val="677C8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2A482F"/>
    <w:multiLevelType w:val="hybridMultilevel"/>
    <w:tmpl w:val="37BEF92C"/>
    <w:lvl w:ilvl="0" w:tplc="880476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23540B1A"/>
    <w:multiLevelType w:val="hybridMultilevel"/>
    <w:tmpl w:val="59E8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65D13"/>
    <w:multiLevelType w:val="hybridMultilevel"/>
    <w:tmpl w:val="6F6CDF98"/>
    <w:lvl w:ilvl="0" w:tplc="EEF25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278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980612D"/>
    <w:multiLevelType w:val="hybridMultilevel"/>
    <w:tmpl w:val="7C48612E"/>
    <w:lvl w:ilvl="0" w:tplc="A22864A8">
      <w:start w:val="1"/>
      <w:numFmt w:val="decimal"/>
      <w:lvlText w:val="5.1.%1"/>
      <w:lvlJc w:val="left"/>
      <w:pPr>
        <w:ind w:left="1778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602C9D"/>
    <w:multiLevelType w:val="hybridMultilevel"/>
    <w:tmpl w:val="4F7CA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FCF"/>
    <w:multiLevelType w:val="multilevel"/>
    <w:tmpl w:val="0140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4162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E22A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85E25B4"/>
    <w:multiLevelType w:val="multilevel"/>
    <w:tmpl w:val="2C08AF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595CD2"/>
    <w:multiLevelType w:val="hybridMultilevel"/>
    <w:tmpl w:val="E918BB24"/>
    <w:lvl w:ilvl="0" w:tplc="E01880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D44CC0"/>
    <w:multiLevelType w:val="hybridMultilevel"/>
    <w:tmpl w:val="A2DC7216"/>
    <w:lvl w:ilvl="0" w:tplc="7F1491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2C53FDB"/>
    <w:multiLevelType w:val="hybridMultilevel"/>
    <w:tmpl w:val="47CCAEEE"/>
    <w:lvl w:ilvl="0" w:tplc="8C1C885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30C6A22"/>
    <w:multiLevelType w:val="hybridMultilevel"/>
    <w:tmpl w:val="E1307274"/>
    <w:lvl w:ilvl="0" w:tplc="37505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334DA8"/>
    <w:multiLevelType w:val="hybridMultilevel"/>
    <w:tmpl w:val="FDA8B242"/>
    <w:lvl w:ilvl="0" w:tplc="9DFA0CA8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764A2F"/>
    <w:multiLevelType w:val="hybridMultilevel"/>
    <w:tmpl w:val="37BEF92C"/>
    <w:lvl w:ilvl="0" w:tplc="880476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8C4573F"/>
    <w:multiLevelType w:val="hybridMultilevel"/>
    <w:tmpl w:val="78584B68"/>
    <w:lvl w:ilvl="0" w:tplc="40E862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8FE7261"/>
    <w:multiLevelType w:val="multilevel"/>
    <w:tmpl w:val="9BEC2C8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DD5944"/>
    <w:multiLevelType w:val="hybridMultilevel"/>
    <w:tmpl w:val="0158E5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833DF9"/>
    <w:multiLevelType w:val="hybridMultilevel"/>
    <w:tmpl w:val="2CC6F048"/>
    <w:lvl w:ilvl="0" w:tplc="12105DAC">
      <w:start w:val="4"/>
      <w:numFmt w:val="bullet"/>
      <w:lvlText w:val="-"/>
      <w:lvlJc w:val="left"/>
      <w:pPr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4BF96027"/>
    <w:multiLevelType w:val="hybridMultilevel"/>
    <w:tmpl w:val="4EE891AA"/>
    <w:lvl w:ilvl="0" w:tplc="7848DCCE">
      <w:start w:val="1"/>
      <w:numFmt w:val="lowerLetter"/>
      <w:lvlText w:val="%1.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6" w15:restartNumberingAfterBreak="0">
    <w:nsid w:val="500F0F9F"/>
    <w:multiLevelType w:val="multilevel"/>
    <w:tmpl w:val="9CD4D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32923B8"/>
    <w:multiLevelType w:val="multilevel"/>
    <w:tmpl w:val="F1C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6037C6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E7806"/>
    <w:multiLevelType w:val="hybridMultilevel"/>
    <w:tmpl w:val="A1A6E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0313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1" w15:restartNumberingAfterBreak="0">
    <w:nsid w:val="5C237B2A"/>
    <w:multiLevelType w:val="hybridMultilevel"/>
    <w:tmpl w:val="2CC4B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6D1323"/>
    <w:multiLevelType w:val="hybridMultilevel"/>
    <w:tmpl w:val="4496B434"/>
    <w:lvl w:ilvl="0" w:tplc="A7CCBD72">
      <w:start w:val="1"/>
      <w:numFmt w:val="upperLetter"/>
      <w:lvlText w:val="%1."/>
      <w:lvlJc w:val="left"/>
      <w:pPr>
        <w:ind w:left="43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5CDF17AC"/>
    <w:multiLevelType w:val="hybridMultilevel"/>
    <w:tmpl w:val="5E30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EC058A"/>
    <w:multiLevelType w:val="hybridMultilevel"/>
    <w:tmpl w:val="59E8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B13D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85424B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7" w15:restartNumberingAfterBreak="0">
    <w:nsid w:val="61635C51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8" w15:restartNumberingAfterBreak="0">
    <w:nsid w:val="63853E84"/>
    <w:multiLevelType w:val="hybridMultilevel"/>
    <w:tmpl w:val="E0245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43765E"/>
    <w:multiLevelType w:val="hybridMultilevel"/>
    <w:tmpl w:val="CC707F3A"/>
    <w:lvl w:ilvl="0" w:tplc="69B003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8F677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9855A5C"/>
    <w:multiLevelType w:val="hybridMultilevel"/>
    <w:tmpl w:val="87A43066"/>
    <w:lvl w:ilvl="0" w:tplc="336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 w15:restartNumberingAfterBreak="0">
    <w:nsid w:val="6BCB2A9B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3" w15:restartNumberingAfterBreak="0">
    <w:nsid w:val="6CC2210B"/>
    <w:multiLevelType w:val="multilevel"/>
    <w:tmpl w:val="9EA8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E076068"/>
    <w:multiLevelType w:val="hybridMultilevel"/>
    <w:tmpl w:val="E6D037C2"/>
    <w:lvl w:ilvl="0" w:tplc="9CD4FD1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6E6F548F"/>
    <w:multiLevelType w:val="multilevel"/>
    <w:tmpl w:val="9CD4D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3ED1067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68810EB"/>
    <w:multiLevelType w:val="multilevel"/>
    <w:tmpl w:val="60261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8A11AFD"/>
    <w:multiLevelType w:val="hybridMultilevel"/>
    <w:tmpl w:val="7C7293CA"/>
    <w:lvl w:ilvl="0" w:tplc="4704EAE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30295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0" w15:restartNumberingAfterBreak="0">
    <w:nsid w:val="7EB24FCF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EE5766B"/>
    <w:multiLevelType w:val="hybridMultilevel"/>
    <w:tmpl w:val="7F34942C"/>
    <w:lvl w:ilvl="0" w:tplc="9B3CDE72">
      <w:start w:val="4"/>
      <w:numFmt w:val="bullet"/>
      <w:lvlText w:val="-"/>
      <w:lvlJc w:val="left"/>
      <w:pPr>
        <w:ind w:left="852" w:hanging="28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38636423">
    <w:abstractNumId w:val="32"/>
  </w:num>
  <w:num w:numId="2" w16cid:durableId="192966523">
    <w:abstractNumId w:val="35"/>
  </w:num>
  <w:num w:numId="3" w16cid:durableId="1941600195">
    <w:abstractNumId w:val="13"/>
  </w:num>
  <w:num w:numId="4" w16cid:durableId="1914466302">
    <w:abstractNumId w:val="56"/>
  </w:num>
  <w:num w:numId="5" w16cid:durableId="1746495010">
    <w:abstractNumId w:val="62"/>
  </w:num>
  <w:num w:numId="6" w16cid:durableId="152187245">
    <w:abstractNumId w:val="57"/>
  </w:num>
  <w:num w:numId="7" w16cid:durableId="1970284345">
    <w:abstractNumId w:val="69"/>
  </w:num>
  <w:num w:numId="8" w16cid:durableId="342248877">
    <w:abstractNumId w:val="65"/>
  </w:num>
  <w:num w:numId="9" w16cid:durableId="1857426749">
    <w:abstractNumId w:val="15"/>
  </w:num>
  <w:num w:numId="10" w16cid:durableId="1158493483">
    <w:abstractNumId w:val="20"/>
  </w:num>
  <w:num w:numId="11" w16cid:durableId="1984849131">
    <w:abstractNumId w:val="19"/>
  </w:num>
  <w:num w:numId="12" w16cid:durableId="1767799008">
    <w:abstractNumId w:val="67"/>
  </w:num>
  <w:num w:numId="13" w16cid:durableId="1769959864">
    <w:abstractNumId w:val="30"/>
  </w:num>
  <w:num w:numId="14" w16cid:durableId="1234394386">
    <w:abstractNumId w:val="12"/>
  </w:num>
  <w:num w:numId="15" w16cid:durableId="477111562">
    <w:abstractNumId w:val="28"/>
  </w:num>
  <w:num w:numId="16" w16cid:durableId="879826531">
    <w:abstractNumId w:val="24"/>
  </w:num>
  <w:num w:numId="17" w16cid:durableId="1710296224">
    <w:abstractNumId w:val="10"/>
  </w:num>
  <w:num w:numId="18" w16cid:durableId="1929650854">
    <w:abstractNumId w:val="53"/>
  </w:num>
  <w:num w:numId="19" w16cid:durableId="445275499">
    <w:abstractNumId w:val="22"/>
  </w:num>
  <w:num w:numId="20" w16cid:durableId="472454321">
    <w:abstractNumId w:val="48"/>
  </w:num>
  <w:num w:numId="21" w16cid:durableId="2013339528">
    <w:abstractNumId w:val="11"/>
  </w:num>
  <w:num w:numId="22" w16cid:durableId="1266888728">
    <w:abstractNumId w:val="55"/>
  </w:num>
  <w:num w:numId="23" w16cid:durableId="329870369">
    <w:abstractNumId w:val="40"/>
  </w:num>
  <w:num w:numId="24" w16cid:durableId="176432202">
    <w:abstractNumId w:val="54"/>
  </w:num>
  <w:num w:numId="25" w16cid:durableId="2102987773">
    <w:abstractNumId w:val="27"/>
  </w:num>
  <w:num w:numId="26" w16cid:durableId="689723194">
    <w:abstractNumId w:val="61"/>
  </w:num>
  <w:num w:numId="27" w16cid:durableId="1537234483">
    <w:abstractNumId w:val="64"/>
  </w:num>
  <w:num w:numId="28" w16cid:durableId="554312156">
    <w:abstractNumId w:val="25"/>
  </w:num>
  <w:num w:numId="29" w16cid:durableId="1698457695">
    <w:abstractNumId w:val="50"/>
  </w:num>
  <w:num w:numId="30" w16cid:durableId="1475442606">
    <w:abstractNumId w:val="26"/>
  </w:num>
  <w:num w:numId="31" w16cid:durableId="321473938">
    <w:abstractNumId w:val="45"/>
  </w:num>
  <w:num w:numId="32" w16cid:durableId="965693672">
    <w:abstractNumId w:val="8"/>
  </w:num>
  <w:num w:numId="33" w16cid:durableId="1252158826">
    <w:abstractNumId w:val="41"/>
  </w:num>
  <w:num w:numId="34" w16cid:durableId="717516245">
    <w:abstractNumId w:val="46"/>
  </w:num>
  <w:num w:numId="35" w16cid:durableId="289168379">
    <w:abstractNumId w:val="49"/>
  </w:num>
  <w:num w:numId="36" w16cid:durableId="563376928">
    <w:abstractNumId w:val="59"/>
  </w:num>
  <w:num w:numId="37" w16cid:durableId="2104524734">
    <w:abstractNumId w:val="70"/>
  </w:num>
  <w:num w:numId="38" w16cid:durableId="1861046573">
    <w:abstractNumId w:val="16"/>
  </w:num>
  <w:num w:numId="39" w16cid:durableId="548415134">
    <w:abstractNumId w:val="66"/>
  </w:num>
  <w:num w:numId="40" w16cid:durableId="905342359">
    <w:abstractNumId w:val="33"/>
  </w:num>
  <w:num w:numId="41" w16cid:durableId="848329161">
    <w:abstractNumId w:val="60"/>
  </w:num>
  <w:num w:numId="42" w16cid:durableId="1761680973">
    <w:abstractNumId w:val="17"/>
  </w:num>
  <w:num w:numId="43" w16cid:durableId="50929724">
    <w:abstractNumId w:val="21"/>
  </w:num>
  <w:num w:numId="44" w16cid:durableId="569462151">
    <w:abstractNumId w:val="51"/>
  </w:num>
  <w:num w:numId="45" w16cid:durableId="378012627">
    <w:abstractNumId w:val="18"/>
  </w:num>
  <w:num w:numId="46" w16cid:durableId="1439443302">
    <w:abstractNumId w:val="38"/>
  </w:num>
  <w:num w:numId="47" w16cid:durableId="156923191">
    <w:abstractNumId w:val="44"/>
  </w:num>
  <w:num w:numId="48" w16cid:durableId="1010061621">
    <w:abstractNumId w:val="71"/>
  </w:num>
  <w:num w:numId="49" w16cid:durableId="219829186">
    <w:abstractNumId w:val="63"/>
  </w:num>
  <w:num w:numId="50" w16cid:durableId="847332152">
    <w:abstractNumId w:val="31"/>
  </w:num>
  <w:num w:numId="51" w16cid:durableId="3181164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70301928">
    <w:abstractNumId w:val="14"/>
  </w:num>
  <w:num w:numId="53" w16cid:durableId="788742046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20143546">
    <w:abstractNumId w:val="7"/>
  </w:num>
  <w:num w:numId="55" w16cid:durableId="1167358605">
    <w:abstractNumId w:val="9"/>
  </w:num>
  <w:num w:numId="56" w16cid:durableId="1900944208">
    <w:abstractNumId w:val="47"/>
  </w:num>
  <w:num w:numId="57" w16cid:durableId="1492597736">
    <w:abstractNumId w:val="23"/>
  </w:num>
  <w:num w:numId="58" w16cid:durableId="986207815">
    <w:abstractNumId w:val="36"/>
  </w:num>
  <w:num w:numId="59" w16cid:durableId="17893051">
    <w:abstractNumId w:val="43"/>
  </w:num>
  <w:num w:numId="60" w16cid:durableId="842748061">
    <w:abstractNumId w:val="5"/>
  </w:num>
  <w:num w:numId="61" w16cid:durableId="567494528">
    <w:abstractNumId w:val="37"/>
  </w:num>
  <w:num w:numId="62" w16cid:durableId="1930313215">
    <w:abstractNumId w:val="3"/>
  </w:num>
  <w:num w:numId="63" w16cid:durableId="1384064106">
    <w:abstractNumId w:val="29"/>
  </w:num>
  <w:num w:numId="64" w16cid:durableId="445007853">
    <w:abstractNumId w:val="39"/>
  </w:num>
  <w:num w:numId="65" w16cid:durableId="2117404256">
    <w:abstractNumId w:val="68"/>
  </w:num>
  <w:num w:numId="66" w16cid:durableId="611131475">
    <w:abstractNumId w:val="52"/>
  </w:num>
  <w:num w:numId="67" w16cid:durableId="520432918">
    <w:abstractNumId w:val="6"/>
  </w:num>
  <w:num w:numId="68" w16cid:durableId="1214925666">
    <w:abstractNumId w:val="58"/>
  </w:num>
  <w:num w:numId="69" w16cid:durableId="1052383723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94"/>
    <w:rsid w:val="0000030E"/>
    <w:rsid w:val="00014496"/>
    <w:rsid w:val="00015FB1"/>
    <w:rsid w:val="00022420"/>
    <w:rsid w:val="0002370D"/>
    <w:rsid w:val="000311FC"/>
    <w:rsid w:val="00033D1E"/>
    <w:rsid w:val="00047561"/>
    <w:rsid w:val="00051EE4"/>
    <w:rsid w:val="00055EBD"/>
    <w:rsid w:val="00056D1B"/>
    <w:rsid w:val="00057F73"/>
    <w:rsid w:val="00062BDD"/>
    <w:rsid w:val="000644F8"/>
    <w:rsid w:val="000755F7"/>
    <w:rsid w:val="00076172"/>
    <w:rsid w:val="00081B35"/>
    <w:rsid w:val="00082BD8"/>
    <w:rsid w:val="000842D1"/>
    <w:rsid w:val="0009026A"/>
    <w:rsid w:val="000939CB"/>
    <w:rsid w:val="000961F7"/>
    <w:rsid w:val="000972AA"/>
    <w:rsid w:val="000A55A6"/>
    <w:rsid w:val="000D0036"/>
    <w:rsid w:val="000D0054"/>
    <w:rsid w:val="000D152B"/>
    <w:rsid w:val="000D5269"/>
    <w:rsid w:val="000E1B93"/>
    <w:rsid w:val="000E672D"/>
    <w:rsid w:val="000F4143"/>
    <w:rsid w:val="000F41AB"/>
    <w:rsid w:val="000F5E7D"/>
    <w:rsid w:val="00110502"/>
    <w:rsid w:val="00112BFE"/>
    <w:rsid w:val="001136D3"/>
    <w:rsid w:val="00113E46"/>
    <w:rsid w:val="001232A8"/>
    <w:rsid w:val="001309A9"/>
    <w:rsid w:val="001311D5"/>
    <w:rsid w:val="001311D6"/>
    <w:rsid w:val="00140B68"/>
    <w:rsid w:val="00141B8D"/>
    <w:rsid w:val="00161303"/>
    <w:rsid w:val="00161A08"/>
    <w:rsid w:val="0016231A"/>
    <w:rsid w:val="00171473"/>
    <w:rsid w:val="001722F6"/>
    <w:rsid w:val="00173044"/>
    <w:rsid w:val="00173620"/>
    <w:rsid w:val="00177A6E"/>
    <w:rsid w:val="00185304"/>
    <w:rsid w:val="0018776B"/>
    <w:rsid w:val="00187C64"/>
    <w:rsid w:val="001A6E72"/>
    <w:rsid w:val="001B6FCD"/>
    <w:rsid w:val="001C02A1"/>
    <w:rsid w:val="001C2632"/>
    <w:rsid w:val="001C31B6"/>
    <w:rsid w:val="001C4129"/>
    <w:rsid w:val="001C4B73"/>
    <w:rsid w:val="001D1357"/>
    <w:rsid w:val="001D5F62"/>
    <w:rsid w:val="001F53BF"/>
    <w:rsid w:val="00200BC6"/>
    <w:rsid w:val="00214A95"/>
    <w:rsid w:val="002153DA"/>
    <w:rsid w:val="00222730"/>
    <w:rsid w:val="00231D18"/>
    <w:rsid w:val="00233F84"/>
    <w:rsid w:val="00235CDA"/>
    <w:rsid w:val="00251F73"/>
    <w:rsid w:val="00263239"/>
    <w:rsid w:val="00265E62"/>
    <w:rsid w:val="00266300"/>
    <w:rsid w:val="00270B68"/>
    <w:rsid w:val="002731F6"/>
    <w:rsid w:val="002732CA"/>
    <w:rsid w:val="00275038"/>
    <w:rsid w:val="002849D2"/>
    <w:rsid w:val="0028509B"/>
    <w:rsid w:val="00287340"/>
    <w:rsid w:val="002A171B"/>
    <w:rsid w:val="002B337E"/>
    <w:rsid w:val="002B572B"/>
    <w:rsid w:val="002C4CC4"/>
    <w:rsid w:val="002D0668"/>
    <w:rsid w:val="002D73C1"/>
    <w:rsid w:val="002E4FFB"/>
    <w:rsid w:val="002F04ED"/>
    <w:rsid w:val="002F6847"/>
    <w:rsid w:val="003008BD"/>
    <w:rsid w:val="0030638A"/>
    <w:rsid w:val="003205BA"/>
    <w:rsid w:val="00333ED9"/>
    <w:rsid w:val="00336AC2"/>
    <w:rsid w:val="0034410C"/>
    <w:rsid w:val="00345830"/>
    <w:rsid w:val="003524F2"/>
    <w:rsid w:val="00354B23"/>
    <w:rsid w:val="00366CE2"/>
    <w:rsid w:val="00375C4F"/>
    <w:rsid w:val="00382460"/>
    <w:rsid w:val="00387C6B"/>
    <w:rsid w:val="00396FFA"/>
    <w:rsid w:val="003B2072"/>
    <w:rsid w:val="003B3BB4"/>
    <w:rsid w:val="003B3BCE"/>
    <w:rsid w:val="003C1408"/>
    <w:rsid w:val="003D1BBC"/>
    <w:rsid w:val="003D3CC3"/>
    <w:rsid w:val="003D4A03"/>
    <w:rsid w:val="003D714A"/>
    <w:rsid w:val="003E1ECE"/>
    <w:rsid w:val="003E45ED"/>
    <w:rsid w:val="003F426F"/>
    <w:rsid w:val="003F6389"/>
    <w:rsid w:val="00400027"/>
    <w:rsid w:val="00403E09"/>
    <w:rsid w:val="00413D78"/>
    <w:rsid w:val="00414060"/>
    <w:rsid w:val="00424746"/>
    <w:rsid w:val="004266D8"/>
    <w:rsid w:val="00426D8D"/>
    <w:rsid w:val="0043717C"/>
    <w:rsid w:val="004425EE"/>
    <w:rsid w:val="00444C19"/>
    <w:rsid w:val="00446B5C"/>
    <w:rsid w:val="004476FA"/>
    <w:rsid w:val="0045051D"/>
    <w:rsid w:val="004547F5"/>
    <w:rsid w:val="0046088A"/>
    <w:rsid w:val="00462037"/>
    <w:rsid w:val="0046419B"/>
    <w:rsid w:val="00464F9C"/>
    <w:rsid w:val="004719EF"/>
    <w:rsid w:val="00490F7E"/>
    <w:rsid w:val="00496AD9"/>
    <w:rsid w:val="00496D71"/>
    <w:rsid w:val="00497ED6"/>
    <w:rsid w:val="004B3752"/>
    <w:rsid w:val="004B5B47"/>
    <w:rsid w:val="004B6DFF"/>
    <w:rsid w:val="004C33D3"/>
    <w:rsid w:val="004D0CED"/>
    <w:rsid w:val="004D4D68"/>
    <w:rsid w:val="004D618A"/>
    <w:rsid w:val="004D7332"/>
    <w:rsid w:val="004F33AD"/>
    <w:rsid w:val="004F4D68"/>
    <w:rsid w:val="00501FF5"/>
    <w:rsid w:val="00505493"/>
    <w:rsid w:val="00506F60"/>
    <w:rsid w:val="00516309"/>
    <w:rsid w:val="00520632"/>
    <w:rsid w:val="00523978"/>
    <w:rsid w:val="00523D63"/>
    <w:rsid w:val="00524C45"/>
    <w:rsid w:val="005301BE"/>
    <w:rsid w:val="00530D3E"/>
    <w:rsid w:val="00534F60"/>
    <w:rsid w:val="005451DB"/>
    <w:rsid w:val="00545F52"/>
    <w:rsid w:val="00552E75"/>
    <w:rsid w:val="0055452C"/>
    <w:rsid w:val="00563C44"/>
    <w:rsid w:val="00566F56"/>
    <w:rsid w:val="00567E15"/>
    <w:rsid w:val="0057188B"/>
    <w:rsid w:val="00577935"/>
    <w:rsid w:val="005852CE"/>
    <w:rsid w:val="00597640"/>
    <w:rsid w:val="005A0010"/>
    <w:rsid w:val="005A0274"/>
    <w:rsid w:val="005A1DA5"/>
    <w:rsid w:val="005B2054"/>
    <w:rsid w:val="005B29E2"/>
    <w:rsid w:val="005B37C7"/>
    <w:rsid w:val="005B48DE"/>
    <w:rsid w:val="005C143A"/>
    <w:rsid w:val="005C1615"/>
    <w:rsid w:val="005C1E0E"/>
    <w:rsid w:val="005C4647"/>
    <w:rsid w:val="005C4C78"/>
    <w:rsid w:val="005D0B2D"/>
    <w:rsid w:val="005D4E85"/>
    <w:rsid w:val="005D62E6"/>
    <w:rsid w:val="005F55C4"/>
    <w:rsid w:val="006302FD"/>
    <w:rsid w:val="006319E2"/>
    <w:rsid w:val="00645A39"/>
    <w:rsid w:val="00654510"/>
    <w:rsid w:val="00655572"/>
    <w:rsid w:val="00655887"/>
    <w:rsid w:val="00657488"/>
    <w:rsid w:val="00662F9C"/>
    <w:rsid w:val="006655A8"/>
    <w:rsid w:val="00676397"/>
    <w:rsid w:val="0067674A"/>
    <w:rsid w:val="00696B9A"/>
    <w:rsid w:val="006A267F"/>
    <w:rsid w:val="006C1610"/>
    <w:rsid w:val="006C3863"/>
    <w:rsid w:val="006D2EA1"/>
    <w:rsid w:val="006E0679"/>
    <w:rsid w:val="006E4915"/>
    <w:rsid w:val="006E5186"/>
    <w:rsid w:val="006E5983"/>
    <w:rsid w:val="007028E7"/>
    <w:rsid w:val="0071228B"/>
    <w:rsid w:val="00725881"/>
    <w:rsid w:val="007422BB"/>
    <w:rsid w:val="00751E39"/>
    <w:rsid w:val="00752392"/>
    <w:rsid w:val="00754577"/>
    <w:rsid w:val="00763D13"/>
    <w:rsid w:val="0076464D"/>
    <w:rsid w:val="00771E5A"/>
    <w:rsid w:val="00771F80"/>
    <w:rsid w:val="00774469"/>
    <w:rsid w:val="0077605E"/>
    <w:rsid w:val="007777E6"/>
    <w:rsid w:val="00782B25"/>
    <w:rsid w:val="00797C9F"/>
    <w:rsid w:val="007A441A"/>
    <w:rsid w:val="007A7772"/>
    <w:rsid w:val="007A7909"/>
    <w:rsid w:val="007B51BB"/>
    <w:rsid w:val="007C07FD"/>
    <w:rsid w:val="007C4C83"/>
    <w:rsid w:val="007D1289"/>
    <w:rsid w:val="007D3BDD"/>
    <w:rsid w:val="007E284C"/>
    <w:rsid w:val="007F0E64"/>
    <w:rsid w:val="00803C3F"/>
    <w:rsid w:val="008129F2"/>
    <w:rsid w:val="0081343C"/>
    <w:rsid w:val="00813CC6"/>
    <w:rsid w:val="008219F5"/>
    <w:rsid w:val="0082723F"/>
    <w:rsid w:val="00833CF5"/>
    <w:rsid w:val="00835989"/>
    <w:rsid w:val="00837BEE"/>
    <w:rsid w:val="008465D9"/>
    <w:rsid w:val="00853DCE"/>
    <w:rsid w:val="008633A1"/>
    <w:rsid w:val="00866740"/>
    <w:rsid w:val="00871D8E"/>
    <w:rsid w:val="00872803"/>
    <w:rsid w:val="00874559"/>
    <w:rsid w:val="00876222"/>
    <w:rsid w:val="0087677B"/>
    <w:rsid w:val="00886186"/>
    <w:rsid w:val="008904C6"/>
    <w:rsid w:val="00892C44"/>
    <w:rsid w:val="00893E3D"/>
    <w:rsid w:val="00894946"/>
    <w:rsid w:val="00894BDD"/>
    <w:rsid w:val="0089748A"/>
    <w:rsid w:val="008A24EF"/>
    <w:rsid w:val="008A4E15"/>
    <w:rsid w:val="008A52D9"/>
    <w:rsid w:val="008B18CF"/>
    <w:rsid w:val="008B51D1"/>
    <w:rsid w:val="008B56E4"/>
    <w:rsid w:val="008C0558"/>
    <w:rsid w:val="008C6A73"/>
    <w:rsid w:val="008D04D2"/>
    <w:rsid w:val="008D1232"/>
    <w:rsid w:val="008D3419"/>
    <w:rsid w:val="008E02B3"/>
    <w:rsid w:val="008E082D"/>
    <w:rsid w:val="008E3EFD"/>
    <w:rsid w:val="008E4725"/>
    <w:rsid w:val="008E6E71"/>
    <w:rsid w:val="008F7537"/>
    <w:rsid w:val="00900A9D"/>
    <w:rsid w:val="00904CAE"/>
    <w:rsid w:val="00914741"/>
    <w:rsid w:val="00914FC5"/>
    <w:rsid w:val="00915E0B"/>
    <w:rsid w:val="009211BB"/>
    <w:rsid w:val="00921A57"/>
    <w:rsid w:val="00924281"/>
    <w:rsid w:val="00925C46"/>
    <w:rsid w:val="00926300"/>
    <w:rsid w:val="009270D7"/>
    <w:rsid w:val="0092790F"/>
    <w:rsid w:val="00935C4A"/>
    <w:rsid w:val="00943E10"/>
    <w:rsid w:val="00945260"/>
    <w:rsid w:val="009625D0"/>
    <w:rsid w:val="0096680D"/>
    <w:rsid w:val="009779E4"/>
    <w:rsid w:val="00983C5D"/>
    <w:rsid w:val="009947AD"/>
    <w:rsid w:val="0099505D"/>
    <w:rsid w:val="00996F52"/>
    <w:rsid w:val="00997BD0"/>
    <w:rsid w:val="009A0D89"/>
    <w:rsid w:val="009A191C"/>
    <w:rsid w:val="009D02FE"/>
    <w:rsid w:val="009D3972"/>
    <w:rsid w:val="009E0CE4"/>
    <w:rsid w:val="009E29BC"/>
    <w:rsid w:val="009E65C8"/>
    <w:rsid w:val="009F60C6"/>
    <w:rsid w:val="00A01EC0"/>
    <w:rsid w:val="00A14DC7"/>
    <w:rsid w:val="00A2759F"/>
    <w:rsid w:val="00A27DD9"/>
    <w:rsid w:val="00A42783"/>
    <w:rsid w:val="00A465C7"/>
    <w:rsid w:val="00A545C5"/>
    <w:rsid w:val="00A601B2"/>
    <w:rsid w:val="00A72B4A"/>
    <w:rsid w:val="00A77DEA"/>
    <w:rsid w:val="00A83ECF"/>
    <w:rsid w:val="00A86E4B"/>
    <w:rsid w:val="00A95183"/>
    <w:rsid w:val="00AA08E7"/>
    <w:rsid w:val="00AA6E77"/>
    <w:rsid w:val="00AA7E46"/>
    <w:rsid w:val="00AB2540"/>
    <w:rsid w:val="00AB4082"/>
    <w:rsid w:val="00AB4598"/>
    <w:rsid w:val="00AB5E51"/>
    <w:rsid w:val="00AC2784"/>
    <w:rsid w:val="00AC3806"/>
    <w:rsid w:val="00AC61EA"/>
    <w:rsid w:val="00AD01A4"/>
    <w:rsid w:val="00AD2D57"/>
    <w:rsid w:val="00AD543A"/>
    <w:rsid w:val="00AD5A95"/>
    <w:rsid w:val="00AD6548"/>
    <w:rsid w:val="00AE267A"/>
    <w:rsid w:val="00AE5D5A"/>
    <w:rsid w:val="00AF0231"/>
    <w:rsid w:val="00AF70A8"/>
    <w:rsid w:val="00B05ACA"/>
    <w:rsid w:val="00B06DFF"/>
    <w:rsid w:val="00B07622"/>
    <w:rsid w:val="00B117CF"/>
    <w:rsid w:val="00B146E7"/>
    <w:rsid w:val="00B16FCB"/>
    <w:rsid w:val="00B22257"/>
    <w:rsid w:val="00B44E80"/>
    <w:rsid w:val="00B553D2"/>
    <w:rsid w:val="00B56564"/>
    <w:rsid w:val="00B576E6"/>
    <w:rsid w:val="00B609DF"/>
    <w:rsid w:val="00B77F94"/>
    <w:rsid w:val="00B806AD"/>
    <w:rsid w:val="00B855AF"/>
    <w:rsid w:val="00B87785"/>
    <w:rsid w:val="00BA0FB0"/>
    <w:rsid w:val="00BC066B"/>
    <w:rsid w:val="00BC58B5"/>
    <w:rsid w:val="00BE5DFC"/>
    <w:rsid w:val="00BE6887"/>
    <w:rsid w:val="00C041E6"/>
    <w:rsid w:val="00C065D4"/>
    <w:rsid w:val="00C10334"/>
    <w:rsid w:val="00C1172D"/>
    <w:rsid w:val="00C16D2A"/>
    <w:rsid w:val="00C178D2"/>
    <w:rsid w:val="00C317D7"/>
    <w:rsid w:val="00C31CF4"/>
    <w:rsid w:val="00C3574D"/>
    <w:rsid w:val="00C401F4"/>
    <w:rsid w:val="00C40850"/>
    <w:rsid w:val="00C42D6A"/>
    <w:rsid w:val="00C4650D"/>
    <w:rsid w:val="00C65623"/>
    <w:rsid w:val="00C70BDE"/>
    <w:rsid w:val="00C775DD"/>
    <w:rsid w:val="00C85321"/>
    <w:rsid w:val="00C921FC"/>
    <w:rsid w:val="00C92742"/>
    <w:rsid w:val="00C92D73"/>
    <w:rsid w:val="00C9388B"/>
    <w:rsid w:val="00CA1EAF"/>
    <w:rsid w:val="00CA2A44"/>
    <w:rsid w:val="00CA39A0"/>
    <w:rsid w:val="00CB5792"/>
    <w:rsid w:val="00CB68A1"/>
    <w:rsid w:val="00CC0691"/>
    <w:rsid w:val="00CC611D"/>
    <w:rsid w:val="00CD6F81"/>
    <w:rsid w:val="00CE0D2A"/>
    <w:rsid w:val="00CE5113"/>
    <w:rsid w:val="00CF06B3"/>
    <w:rsid w:val="00CF36F0"/>
    <w:rsid w:val="00CF4E4D"/>
    <w:rsid w:val="00D02650"/>
    <w:rsid w:val="00D06B9E"/>
    <w:rsid w:val="00D11C4B"/>
    <w:rsid w:val="00D12300"/>
    <w:rsid w:val="00D14F8C"/>
    <w:rsid w:val="00D1527B"/>
    <w:rsid w:val="00D23307"/>
    <w:rsid w:val="00D33437"/>
    <w:rsid w:val="00D3391A"/>
    <w:rsid w:val="00D3635D"/>
    <w:rsid w:val="00D42D8C"/>
    <w:rsid w:val="00D54501"/>
    <w:rsid w:val="00D55977"/>
    <w:rsid w:val="00D56C73"/>
    <w:rsid w:val="00D6075A"/>
    <w:rsid w:val="00D63560"/>
    <w:rsid w:val="00D65868"/>
    <w:rsid w:val="00D74CF3"/>
    <w:rsid w:val="00D76C81"/>
    <w:rsid w:val="00D87C1F"/>
    <w:rsid w:val="00DA41BA"/>
    <w:rsid w:val="00DB06A4"/>
    <w:rsid w:val="00DB425B"/>
    <w:rsid w:val="00DC1C7D"/>
    <w:rsid w:val="00DC781D"/>
    <w:rsid w:val="00DD1EE9"/>
    <w:rsid w:val="00DD4966"/>
    <w:rsid w:val="00DD5AE8"/>
    <w:rsid w:val="00DF7E5C"/>
    <w:rsid w:val="00E00942"/>
    <w:rsid w:val="00E01403"/>
    <w:rsid w:val="00E01DBE"/>
    <w:rsid w:val="00E01FB2"/>
    <w:rsid w:val="00E1160E"/>
    <w:rsid w:val="00E1759A"/>
    <w:rsid w:val="00E20390"/>
    <w:rsid w:val="00E23B43"/>
    <w:rsid w:val="00E24BA5"/>
    <w:rsid w:val="00E27673"/>
    <w:rsid w:val="00E32502"/>
    <w:rsid w:val="00E34245"/>
    <w:rsid w:val="00E357D0"/>
    <w:rsid w:val="00E40188"/>
    <w:rsid w:val="00E44D95"/>
    <w:rsid w:val="00E4669B"/>
    <w:rsid w:val="00E511D5"/>
    <w:rsid w:val="00E51934"/>
    <w:rsid w:val="00E52484"/>
    <w:rsid w:val="00E56E4A"/>
    <w:rsid w:val="00E63C5E"/>
    <w:rsid w:val="00E649B1"/>
    <w:rsid w:val="00E7010A"/>
    <w:rsid w:val="00E72E35"/>
    <w:rsid w:val="00E742C3"/>
    <w:rsid w:val="00E75F1C"/>
    <w:rsid w:val="00E900BD"/>
    <w:rsid w:val="00E91819"/>
    <w:rsid w:val="00E94F8C"/>
    <w:rsid w:val="00E95B10"/>
    <w:rsid w:val="00E96627"/>
    <w:rsid w:val="00E97423"/>
    <w:rsid w:val="00EA13DA"/>
    <w:rsid w:val="00EB4993"/>
    <w:rsid w:val="00EC458E"/>
    <w:rsid w:val="00EC6C4B"/>
    <w:rsid w:val="00ED4DFF"/>
    <w:rsid w:val="00ED5BF3"/>
    <w:rsid w:val="00ED612F"/>
    <w:rsid w:val="00ED6F9C"/>
    <w:rsid w:val="00EE2F8C"/>
    <w:rsid w:val="00EE342A"/>
    <w:rsid w:val="00EE42A4"/>
    <w:rsid w:val="00EE6597"/>
    <w:rsid w:val="00EF323E"/>
    <w:rsid w:val="00F013E1"/>
    <w:rsid w:val="00F03454"/>
    <w:rsid w:val="00F038C3"/>
    <w:rsid w:val="00F0514A"/>
    <w:rsid w:val="00F1551A"/>
    <w:rsid w:val="00F16110"/>
    <w:rsid w:val="00F16BB3"/>
    <w:rsid w:val="00F23CE0"/>
    <w:rsid w:val="00F449DE"/>
    <w:rsid w:val="00F62D3F"/>
    <w:rsid w:val="00F655E9"/>
    <w:rsid w:val="00F821E5"/>
    <w:rsid w:val="00F82B40"/>
    <w:rsid w:val="00F936F6"/>
    <w:rsid w:val="00F96584"/>
    <w:rsid w:val="00FA7631"/>
    <w:rsid w:val="00FA7F36"/>
    <w:rsid w:val="00FB01A5"/>
    <w:rsid w:val="00FB7939"/>
    <w:rsid w:val="00FC4CBD"/>
    <w:rsid w:val="00FD1694"/>
    <w:rsid w:val="00FD1EDE"/>
    <w:rsid w:val="00FD4E94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32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4650D"/>
    <w:pPr>
      <w:keepNext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55A6"/>
    <w:pPr>
      <w:keepNext/>
      <w:suppressAutoHyphens/>
      <w:spacing w:before="240" w:after="60"/>
      <w:ind w:left="567" w:hanging="576"/>
      <w:jc w:val="both"/>
      <w:outlineLvl w:val="1"/>
    </w:pPr>
    <w:rPr>
      <w:rFonts w:eastAsia="SimSun" w:cs="Arial"/>
      <w:bCs/>
      <w:iCs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50D"/>
    <w:rPr>
      <w:rFonts w:ascii="Times" w:eastAsia="Times New Roman" w:hAnsi="Times" w:cs="Times"/>
      <w:b/>
      <w:color w:val="000000"/>
      <w:sz w:val="28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46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0A55A6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rsid w:val="001D13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paragraph" w:customStyle="1" w:styleId="Zkladntext31">
    <w:name w:val="Základní text 31"/>
    <w:basedOn w:val="Normln"/>
    <w:rsid w:val="007A441A"/>
    <w:pPr>
      <w:suppressAutoHyphens/>
      <w:spacing w:after="120"/>
    </w:pPr>
    <w:rPr>
      <w:sz w:val="16"/>
      <w:szCs w:val="16"/>
      <w:lang w:eastAsia="ar-SA"/>
    </w:rPr>
  </w:style>
  <w:style w:type="paragraph" w:customStyle="1" w:styleId="Podpis-nzevspolenosti">
    <w:name w:val="Podpis - název společnosti"/>
    <w:basedOn w:val="Podpis"/>
    <w:next w:val="Normln"/>
    <w:rsid w:val="007A441A"/>
    <w:pPr>
      <w:keepNext/>
      <w:keepLines/>
      <w:suppressAutoHyphens/>
      <w:spacing w:after="120"/>
      <w:ind w:left="0"/>
    </w:pPr>
    <w:rPr>
      <w:b/>
      <w:caps/>
      <w:szCs w:val="20"/>
      <w:lang w:eastAsia="ar-SA"/>
    </w:rPr>
  </w:style>
  <w:style w:type="paragraph" w:styleId="Podpis">
    <w:name w:val="Signature"/>
    <w:basedOn w:val="Normln"/>
    <w:link w:val="PodpisChar"/>
    <w:uiPriority w:val="99"/>
    <w:semiHidden/>
    <w:unhideWhenUsed/>
    <w:rsid w:val="007A441A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7A44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4"/>
    <w:link w:val="Styl2Char"/>
    <w:qFormat/>
    <w:rsid w:val="00BE5DFC"/>
    <w:pPr>
      <w:numPr>
        <w:ilvl w:val="3"/>
      </w:numPr>
      <w:tabs>
        <w:tab w:val="num" w:pos="864"/>
        <w:tab w:val="num" w:pos="1560"/>
      </w:tabs>
      <w:ind w:left="1560" w:hanging="993"/>
    </w:pPr>
  </w:style>
  <w:style w:type="character" w:customStyle="1" w:styleId="Styl2Char">
    <w:name w:val="Styl2 Char"/>
    <w:basedOn w:val="Nadpis4Char"/>
    <w:link w:val="Styl2"/>
    <w:rsid w:val="00BE5DFC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table" w:styleId="Mkatabulky">
    <w:name w:val="Table Grid"/>
    <w:basedOn w:val="Normlntabulka"/>
    <w:uiPriority w:val="39"/>
    <w:rsid w:val="00523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6320-4185-4ADE-A4B1-8CB02124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2025-07-21T14:50:00Z</dcterms:created>
  <dcterms:modified xsi:type="dcterms:W3CDTF">2025-07-21T14:50:00Z</dcterms:modified>
</cp:coreProperties>
</file>