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CA5D" w14:textId="1847FF83" w:rsidR="00757ED4" w:rsidRPr="00757ED4" w:rsidRDefault="00757ED4" w:rsidP="00757ED4">
      <w:pPr>
        <w:spacing w:before="120" w:after="0" w:line="276" w:lineRule="auto"/>
        <w:jc w:val="center"/>
        <w:rPr>
          <w:rFonts w:cs="Segoe UI"/>
          <w:b/>
          <w:bCs/>
          <w:sz w:val="32"/>
          <w:szCs w:val="32"/>
          <w:u w:val="single"/>
        </w:rPr>
      </w:pPr>
      <w:r w:rsidRPr="00757ED4">
        <w:rPr>
          <w:rFonts w:cs="Segoe UI"/>
          <w:b/>
          <w:bCs/>
          <w:sz w:val="32"/>
          <w:szCs w:val="32"/>
          <w:u w:val="single"/>
        </w:rPr>
        <w:t>Vědecko-technický park Černovické terasy v Brně</w:t>
      </w:r>
    </w:p>
    <w:p w14:paraId="748C0602" w14:textId="53CD9D63" w:rsidR="00757ED4" w:rsidRPr="00DB55DA" w:rsidRDefault="00757ED4" w:rsidP="005C5AF4">
      <w:pPr>
        <w:spacing w:before="240" w:after="0" w:line="276" w:lineRule="auto"/>
        <w:jc w:val="center"/>
        <w:rPr>
          <w:rFonts w:cs="Segoe UI"/>
          <w:b/>
          <w:bCs/>
          <w:szCs w:val="22"/>
          <w:u w:val="single"/>
        </w:rPr>
      </w:pPr>
      <w:r w:rsidRPr="00DB55DA">
        <w:rPr>
          <w:rFonts w:cs="Segoe UI"/>
          <w:b/>
          <w:bCs/>
          <w:szCs w:val="22"/>
          <w:u w:val="single"/>
        </w:rPr>
        <w:t xml:space="preserve">Základní </w:t>
      </w:r>
      <w:r w:rsidR="00DD1401">
        <w:rPr>
          <w:rFonts w:cs="Segoe UI"/>
          <w:b/>
          <w:bCs/>
          <w:szCs w:val="22"/>
          <w:u w:val="single"/>
        </w:rPr>
        <w:t>smluvní body budoucí koncesní smlouvy</w:t>
      </w:r>
      <w:r w:rsidRPr="00DB55DA">
        <w:rPr>
          <w:rFonts w:cs="Segoe UI"/>
          <w:b/>
          <w:bCs/>
          <w:szCs w:val="22"/>
          <w:u w:val="single"/>
        </w:rPr>
        <w:t xml:space="preserve"> </w:t>
      </w:r>
    </w:p>
    <w:p w14:paraId="42644863" w14:textId="70512A71" w:rsidR="00757ED4" w:rsidRDefault="00757ED4" w:rsidP="00E011C0">
      <w:pPr>
        <w:spacing w:before="360" w:after="120" w:line="276" w:lineRule="auto"/>
        <w:jc w:val="both"/>
        <w:rPr>
          <w:rFonts w:cs="Segoe UI"/>
          <w:szCs w:val="22"/>
        </w:rPr>
      </w:pPr>
      <w:r w:rsidRPr="00DB55DA">
        <w:rPr>
          <w:rFonts w:cs="Segoe UI"/>
          <w:szCs w:val="22"/>
        </w:rPr>
        <w:t xml:space="preserve">Níže uvedené body představují základní rámec budoucího smluvního vztahu </w:t>
      </w:r>
      <w:r w:rsidR="000562FC">
        <w:rPr>
          <w:rFonts w:cs="Segoe UI"/>
          <w:szCs w:val="22"/>
        </w:rPr>
        <w:t>vzniklého</w:t>
      </w:r>
      <w:r>
        <w:rPr>
          <w:rFonts w:cs="Segoe UI"/>
          <w:szCs w:val="22"/>
        </w:rPr>
        <w:t xml:space="preserve"> mezi </w:t>
      </w:r>
      <w:r w:rsidRPr="00DB55DA">
        <w:rPr>
          <w:rFonts w:cs="Segoe UI"/>
          <w:szCs w:val="22"/>
        </w:rPr>
        <w:t>zadavatele</w:t>
      </w:r>
      <w:r w:rsidR="008E34D2">
        <w:rPr>
          <w:rFonts w:cs="Segoe UI"/>
          <w:szCs w:val="22"/>
        </w:rPr>
        <w:t>m</w:t>
      </w:r>
      <w:r w:rsidRPr="00DB55DA">
        <w:rPr>
          <w:rFonts w:cs="Segoe UI"/>
          <w:szCs w:val="22"/>
        </w:rPr>
        <w:t xml:space="preserve"> </w:t>
      </w:r>
      <w:r>
        <w:rPr>
          <w:rFonts w:cs="Segoe UI"/>
          <w:szCs w:val="22"/>
        </w:rPr>
        <w:t xml:space="preserve">a </w:t>
      </w:r>
      <w:r w:rsidRPr="00DB55DA">
        <w:rPr>
          <w:rFonts w:cs="Segoe UI"/>
          <w:szCs w:val="22"/>
        </w:rPr>
        <w:t>dodavatelem</w:t>
      </w:r>
      <w:r w:rsidR="000562FC">
        <w:rPr>
          <w:rFonts w:cs="Segoe UI"/>
          <w:szCs w:val="22"/>
        </w:rPr>
        <w:t xml:space="preserve"> vybraným</w:t>
      </w:r>
      <w:r w:rsidR="000562FC" w:rsidRPr="00DB55DA">
        <w:rPr>
          <w:rFonts w:cs="Segoe UI"/>
          <w:szCs w:val="22"/>
        </w:rPr>
        <w:t> </w:t>
      </w:r>
      <w:r w:rsidR="000562FC">
        <w:rPr>
          <w:rFonts w:cs="Segoe UI"/>
          <w:szCs w:val="22"/>
        </w:rPr>
        <w:t>v zadávacím (koncesním) řízení na veřejnou zakázku s názvem „</w:t>
      </w:r>
      <w:r w:rsidR="000562FC" w:rsidRPr="00CD7709">
        <w:rPr>
          <w:rFonts w:cs="Segoe UI"/>
          <w:i/>
          <w:iCs/>
          <w:szCs w:val="22"/>
        </w:rPr>
        <w:t>Vědecko-technický park Černovické terasy</w:t>
      </w:r>
      <w:r w:rsidR="00CD7709" w:rsidRPr="00CD7709">
        <w:rPr>
          <w:rFonts w:cs="Segoe UI"/>
          <w:i/>
          <w:iCs/>
          <w:szCs w:val="22"/>
        </w:rPr>
        <w:t xml:space="preserve"> v Brně</w:t>
      </w:r>
      <w:r w:rsidR="00CD7709">
        <w:rPr>
          <w:rFonts w:cs="Segoe UI"/>
          <w:szCs w:val="22"/>
        </w:rPr>
        <w:t>“</w:t>
      </w:r>
      <w:r w:rsidRPr="00DB55DA">
        <w:rPr>
          <w:rFonts w:cs="Segoe UI"/>
          <w:szCs w:val="22"/>
        </w:rPr>
        <w:t xml:space="preserve">. </w:t>
      </w:r>
      <w:r w:rsidR="00CD7709">
        <w:rPr>
          <w:rFonts w:cs="Segoe UI"/>
          <w:szCs w:val="22"/>
        </w:rPr>
        <w:t>Níže uvedené obchodní podmínky</w:t>
      </w:r>
      <w:r w:rsidRPr="00DB55DA">
        <w:rPr>
          <w:rFonts w:cs="Segoe UI"/>
          <w:szCs w:val="22"/>
        </w:rPr>
        <w:t xml:space="preserve"> nevylučuj</w:t>
      </w:r>
      <w:r w:rsidR="00CD7709">
        <w:rPr>
          <w:rFonts w:cs="Segoe UI"/>
          <w:szCs w:val="22"/>
        </w:rPr>
        <w:t>í</w:t>
      </w:r>
      <w:r w:rsidR="00403C3E">
        <w:rPr>
          <w:rFonts w:cs="Segoe UI"/>
          <w:szCs w:val="22"/>
        </w:rPr>
        <w:t xml:space="preserve"> možnost</w:t>
      </w:r>
      <w:r w:rsidRPr="00DB55DA">
        <w:rPr>
          <w:rFonts w:cs="Segoe UI"/>
          <w:szCs w:val="22"/>
        </w:rPr>
        <w:t xml:space="preserve"> </w:t>
      </w:r>
      <w:r w:rsidR="00403C3E">
        <w:rPr>
          <w:rFonts w:cs="Segoe UI"/>
          <w:szCs w:val="22"/>
        </w:rPr>
        <w:t>změny, upřesnění</w:t>
      </w:r>
      <w:r w:rsidR="00F97775">
        <w:rPr>
          <w:rFonts w:cs="Segoe UI"/>
          <w:szCs w:val="22"/>
        </w:rPr>
        <w:t xml:space="preserve"> či</w:t>
      </w:r>
      <w:r w:rsidR="00403C3E">
        <w:rPr>
          <w:rFonts w:cs="Segoe UI"/>
          <w:szCs w:val="22"/>
        </w:rPr>
        <w:t xml:space="preserve"> doplnění</w:t>
      </w:r>
      <w:r w:rsidRPr="00DB55DA">
        <w:rPr>
          <w:rFonts w:cs="Segoe UI"/>
          <w:szCs w:val="22"/>
        </w:rPr>
        <w:t xml:space="preserve"> někter</w:t>
      </w:r>
      <w:r w:rsidR="009774B3">
        <w:rPr>
          <w:rFonts w:cs="Segoe UI"/>
          <w:szCs w:val="22"/>
        </w:rPr>
        <w:t>ých</w:t>
      </w:r>
      <w:r w:rsidRPr="00DB55DA">
        <w:rPr>
          <w:rFonts w:cs="Segoe UI"/>
          <w:szCs w:val="22"/>
        </w:rPr>
        <w:t xml:space="preserve"> bod</w:t>
      </w:r>
      <w:r w:rsidR="009774B3">
        <w:rPr>
          <w:rFonts w:cs="Segoe UI"/>
          <w:szCs w:val="22"/>
        </w:rPr>
        <w:t>ů</w:t>
      </w:r>
      <w:r w:rsidRPr="00DB55DA">
        <w:rPr>
          <w:rFonts w:cs="Segoe UI"/>
          <w:szCs w:val="22"/>
        </w:rPr>
        <w:t>, část</w:t>
      </w:r>
      <w:r w:rsidR="009774B3">
        <w:rPr>
          <w:rFonts w:cs="Segoe UI"/>
          <w:szCs w:val="22"/>
        </w:rPr>
        <w:t>í</w:t>
      </w:r>
      <w:r w:rsidRPr="00DB55DA">
        <w:rPr>
          <w:rFonts w:cs="Segoe UI"/>
          <w:szCs w:val="22"/>
        </w:rPr>
        <w:t xml:space="preserve"> či požadavk</w:t>
      </w:r>
      <w:r w:rsidR="009774B3">
        <w:rPr>
          <w:rFonts w:cs="Segoe UI"/>
          <w:szCs w:val="22"/>
        </w:rPr>
        <w:t>ů</w:t>
      </w:r>
      <w:r w:rsidR="005F6B50">
        <w:rPr>
          <w:rFonts w:cs="Segoe UI"/>
          <w:szCs w:val="22"/>
        </w:rPr>
        <w:t xml:space="preserve"> </w:t>
      </w:r>
      <w:r w:rsidR="00F97775">
        <w:rPr>
          <w:rFonts w:cs="Segoe UI"/>
          <w:szCs w:val="22"/>
        </w:rPr>
        <w:t>těchto základních obchodních podmínek</w:t>
      </w:r>
      <w:r w:rsidRPr="00DB55DA">
        <w:rPr>
          <w:rFonts w:cs="Segoe UI"/>
          <w:szCs w:val="22"/>
        </w:rPr>
        <w:t xml:space="preserve"> s ohledem na další průběh zadávacího</w:t>
      </w:r>
      <w:r>
        <w:rPr>
          <w:rFonts w:cs="Segoe UI"/>
          <w:szCs w:val="22"/>
        </w:rPr>
        <w:t xml:space="preserve"> (koncesního)</w:t>
      </w:r>
      <w:r w:rsidRPr="00DB55DA">
        <w:rPr>
          <w:rFonts w:cs="Segoe UI"/>
          <w:szCs w:val="22"/>
        </w:rPr>
        <w:t xml:space="preserve"> řízení, zejména</w:t>
      </w:r>
      <w:r>
        <w:rPr>
          <w:rFonts w:cs="Segoe UI"/>
          <w:szCs w:val="22"/>
        </w:rPr>
        <w:t> </w:t>
      </w:r>
      <w:r w:rsidRPr="00DB55DA">
        <w:rPr>
          <w:rFonts w:cs="Segoe UI"/>
          <w:szCs w:val="22"/>
        </w:rPr>
        <w:t>v návaznosti na</w:t>
      </w:r>
      <w:r>
        <w:rPr>
          <w:rFonts w:cs="Segoe UI"/>
          <w:szCs w:val="22"/>
        </w:rPr>
        <w:t xml:space="preserve"> výsledek</w:t>
      </w:r>
      <w:r w:rsidRPr="00DB55DA">
        <w:rPr>
          <w:rFonts w:cs="Segoe UI"/>
          <w:szCs w:val="22"/>
        </w:rPr>
        <w:t xml:space="preserve"> jednání s kvalifikovanými účastníky zadávacího </w:t>
      </w:r>
      <w:r>
        <w:rPr>
          <w:rFonts w:cs="Segoe UI"/>
          <w:szCs w:val="22"/>
        </w:rPr>
        <w:t xml:space="preserve">(koncesního) </w:t>
      </w:r>
      <w:r w:rsidRPr="00DB55DA">
        <w:rPr>
          <w:rFonts w:cs="Segoe UI"/>
          <w:szCs w:val="22"/>
        </w:rPr>
        <w:t>řízení.</w:t>
      </w:r>
    </w:p>
    <w:p w14:paraId="1C39CFF0" w14:textId="0A8574EE" w:rsidR="00757ED4" w:rsidRPr="005656E1" w:rsidRDefault="00757ED4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4"/>
        <w:jc w:val="both"/>
        <w:rPr>
          <w:rFonts w:cs="Segoe UI"/>
          <w:b/>
          <w:bCs/>
          <w:szCs w:val="22"/>
        </w:rPr>
      </w:pPr>
      <w:r w:rsidRPr="005656E1">
        <w:rPr>
          <w:rFonts w:cs="Segoe UI"/>
          <w:b/>
          <w:bCs/>
          <w:szCs w:val="22"/>
        </w:rPr>
        <w:t>Předmět smlouvy</w:t>
      </w:r>
    </w:p>
    <w:p w14:paraId="66786EF4" w14:textId="50DAFD77" w:rsidR="00CD76AC" w:rsidRPr="00BC679F" w:rsidRDefault="00C05FE9">
      <w:pPr>
        <w:rPr>
          <w:rFonts w:cs="Segoe UI"/>
          <w:szCs w:val="22"/>
        </w:rPr>
      </w:pPr>
      <w:r w:rsidRPr="00BC679F">
        <w:rPr>
          <w:rFonts w:cs="Segoe UI"/>
          <w:szCs w:val="22"/>
        </w:rPr>
        <w:t>Předmětem</w:t>
      </w:r>
      <w:r w:rsidR="0024354E" w:rsidRPr="00BC679F">
        <w:rPr>
          <w:rFonts w:cs="Segoe UI"/>
          <w:szCs w:val="22"/>
        </w:rPr>
        <w:t xml:space="preserve"> </w:t>
      </w:r>
      <w:r w:rsidRPr="00BC679F">
        <w:rPr>
          <w:rFonts w:cs="Segoe UI"/>
          <w:szCs w:val="22"/>
        </w:rPr>
        <w:t xml:space="preserve">smlouvy uzavřené s vybraným dodavatelem </w:t>
      </w:r>
      <w:r w:rsidR="00BC679F" w:rsidRPr="00BC679F">
        <w:rPr>
          <w:rFonts w:cs="Segoe UI"/>
          <w:szCs w:val="22"/>
        </w:rPr>
        <w:t>je</w:t>
      </w:r>
      <w:r w:rsidR="00B108B2" w:rsidRPr="00BC679F">
        <w:rPr>
          <w:rFonts w:cs="Segoe UI"/>
          <w:szCs w:val="22"/>
        </w:rPr>
        <w:t>:</w:t>
      </w:r>
    </w:p>
    <w:p w14:paraId="406AF1E4" w14:textId="1FCA6B8B" w:rsidR="00B108B2" w:rsidRPr="00BC679F" w:rsidRDefault="00BC679F" w:rsidP="00B108B2">
      <w:pPr>
        <w:pStyle w:val="Odstavecseseznamem"/>
        <w:numPr>
          <w:ilvl w:val="0"/>
          <w:numId w:val="1"/>
        </w:numPr>
        <w:rPr>
          <w:rFonts w:cs="Segoe UI"/>
          <w:szCs w:val="22"/>
        </w:rPr>
      </w:pPr>
      <w:r w:rsidRPr="00BC679F">
        <w:rPr>
          <w:rFonts w:cs="Segoe UI"/>
          <w:szCs w:val="22"/>
        </w:rPr>
        <w:t>převod vlastnického práva k pozemkům:</w:t>
      </w:r>
    </w:p>
    <w:p w14:paraId="3D57910B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2615/49, druhem orná půda, o výměře 10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63641C59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2615/54, druhem orná půda, o výměře 42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12A07BDE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2615/156, druhem ostatní plocha, způsob využití zeleň, o výměře 350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31BCBEF4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2615/158, druhem orná půda, o výměře 153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30F65F2C" w14:textId="67314968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2825/12, druhem ostatní plocha, způsob využití jiná plocha, o výměře 683</w:t>
      </w:r>
      <w:r w:rsidR="00F40E13">
        <w:rPr>
          <w:rFonts w:cs="Segoe UI"/>
          <w:szCs w:val="22"/>
        </w:rPr>
        <w:t> </w:t>
      </w:r>
      <w:r w:rsidRPr="00BC679F">
        <w:rPr>
          <w:rFonts w:cs="Segoe UI"/>
          <w:szCs w:val="22"/>
        </w:rPr>
        <w:t>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76ADEE3A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2828/204, druhem ostatní plocha, způsob využití jiná plocha, o výměře 5 605 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09991FB5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2828/389, druhem ostatní plocha, způsob využití zeleň, o výměře 55 944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52622750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2828/391, druhem orná půda, o výměře 48 273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1A8B099F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2828/392, druhem ostatní plocha, způsob využití zeleň, o výměře 21 227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62FCDF44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2861/8, druhem orná půda, o výměře 251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1A0E30FC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2861/9, druhem ostatní plocha, způsob využití zeleň, o výměře 17 073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2D7A0200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2861/10, druhem orná půda, o výměře 11 528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3CAB744B" w14:textId="77777777" w:rsidR="00BC679F" w:rsidRPr="00BC679F" w:rsidRDefault="00BC679F" w:rsidP="00BC679F">
      <w:pPr>
        <w:pStyle w:val="Odstavecseseznamem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cs="Segoe UI"/>
          <w:szCs w:val="22"/>
        </w:rPr>
      </w:pPr>
      <w:proofErr w:type="spellStart"/>
      <w:r w:rsidRPr="00BC679F">
        <w:rPr>
          <w:rFonts w:cs="Segoe UI"/>
          <w:szCs w:val="22"/>
        </w:rPr>
        <w:t>parc</w:t>
      </w:r>
      <w:proofErr w:type="spellEnd"/>
      <w:r w:rsidRPr="00BC679F">
        <w:rPr>
          <w:rFonts w:cs="Segoe UI"/>
          <w:szCs w:val="22"/>
        </w:rPr>
        <w:t>. č. 2861/11, druhem ostatní plocha, způsob využití zeleň, o výměře 420 m</w:t>
      </w:r>
      <w:r w:rsidRPr="00BC679F">
        <w:rPr>
          <w:rFonts w:cs="Segoe UI"/>
          <w:szCs w:val="22"/>
          <w:vertAlign w:val="superscript"/>
        </w:rPr>
        <w:t>2</w:t>
      </w:r>
      <w:r w:rsidRPr="00BC679F">
        <w:rPr>
          <w:rFonts w:cs="Segoe UI"/>
          <w:szCs w:val="22"/>
        </w:rPr>
        <w:t>,</w:t>
      </w:r>
    </w:p>
    <w:p w14:paraId="46F2213A" w14:textId="4ED49D88" w:rsidR="00BC679F" w:rsidRPr="00BC679F" w:rsidRDefault="00BC679F" w:rsidP="00082AD0">
      <w:pPr>
        <w:spacing w:after="120"/>
        <w:ind w:left="567"/>
        <w:jc w:val="both"/>
        <w:rPr>
          <w:rFonts w:cs="Segoe UI"/>
          <w:szCs w:val="22"/>
        </w:rPr>
      </w:pPr>
      <w:r w:rsidRPr="00BC679F">
        <w:rPr>
          <w:rFonts w:cs="Segoe UI"/>
          <w:szCs w:val="22"/>
        </w:rPr>
        <w:t xml:space="preserve">vše v </w:t>
      </w:r>
      <w:proofErr w:type="spellStart"/>
      <w:r w:rsidRPr="00BC679F">
        <w:rPr>
          <w:rFonts w:cs="Segoe UI"/>
          <w:szCs w:val="22"/>
        </w:rPr>
        <w:t>k.ú</w:t>
      </w:r>
      <w:proofErr w:type="spellEnd"/>
      <w:r w:rsidRPr="00BC679F">
        <w:rPr>
          <w:rFonts w:cs="Segoe UI"/>
          <w:szCs w:val="22"/>
        </w:rPr>
        <w:t>. Černovice, obec Brno, zapsáno na LV č. 10001 u Katastrálního úřadu pro Jihomoravský kraj, Katastrální pracoviště Brno-město</w:t>
      </w:r>
      <w:r w:rsidR="00ED24A3">
        <w:rPr>
          <w:rFonts w:cs="Segoe UI"/>
          <w:szCs w:val="22"/>
        </w:rPr>
        <w:t xml:space="preserve"> (dále jen „</w:t>
      </w:r>
      <w:r w:rsidR="00ED24A3">
        <w:rPr>
          <w:rFonts w:cs="Segoe UI"/>
          <w:b/>
          <w:bCs/>
          <w:i/>
          <w:iCs/>
          <w:szCs w:val="22"/>
        </w:rPr>
        <w:t>dotčená plocha</w:t>
      </w:r>
      <w:r w:rsidR="00ED24A3">
        <w:rPr>
          <w:rFonts w:cs="Segoe UI"/>
          <w:szCs w:val="22"/>
        </w:rPr>
        <w:t>“)</w:t>
      </w:r>
      <w:r>
        <w:rPr>
          <w:rFonts w:cs="Segoe UI"/>
          <w:szCs w:val="22"/>
        </w:rPr>
        <w:t>;</w:t>
      </w:r>
    </w:p>
    <w:p w14:paraId="5E3F453D" w14:textId="6F49C890" w:rsidR="00ED24A3" w:rsidRDefault="00E949C4" w:rsidP="00082AD0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zajištění </w:t>
      </w:r>
      <w:r w:rsidR="00BC679F" w:rsidRPr="00ED24A3">
        <w:rPr>
          <w:rFonts w:cs="Segoe UI"/>
          <w:szCs w:val="22"/>
        </w:rPr>
        <w:t xml:space="preserve">zpracování projektové dokumentace pro </w:t>
      </w:r>
      <w:r w:rsidR="008E34D2">
        <w:rPr>
          <w:rFonts w:cs="Segoe UI"/>
          <w:szCs w:val="22"/>
        </w:rPr>
        <w:t xml:space="preserve">povolení záměru </w:t>
      </w:r>
      <w:r w:rsidR="00ED24A3">
        <w:rPr>
          <w:rFonts w:cs="Segoe UI"/>
          <w:szCs w:val="22"/>
        </w:rPr>
        <w:t>a</w:t>
      </w:r>
      <w:r w:rsidR="008E34D2">
        <w:rPr>
          <w:rFonts w:cs="Segoe UI"/>
          <w:szCs w:val="22"/>
        </w:rPr>
        <w:t xml:space="preserve"> případně</w:t>
      </w:r>
      <w:r w:rsidR="00ED24A3">
        <w:rPr>
          <w:rFonts w:cs="Segoe UI"/>
          <w:szCs w:val="22"/>
        </w:rPr>
        <w:t xml:space="preserve"> navazujících stupňů projektové dokumentace</w:t>
      </w:r>
      <w:r>
        <w:rPr>
          <w:rFonts w:cs="Segoe UI"/>
          <w:szCs w:val="22"/>
        </w:rPr>
        <w:t xml:space="preserve"> </w:t>
      </w:r>
      <w:r w:rsidR="005656E1">
        <w:rPr>
          <w:rFonts w:cs="Segoe UI"/>
          <w:szCs w:val="22"/>
        </w:rPr>
        <w:t>(společně jen „</w:t>
      </w:r>
      <w:r w:rsidR="005656E1">
        <w:rPr>
          <w:rFonts w:cs="Segoe UI"/>
          <w:b/>
          <w:bCs/>
          <w:i/>
          <w:iCs/>
          <w:szCs w:val="22"/>
        </w:rPr>
        <w:t xml:space="preserve">projektová </w:t>
      </w:r>
      <w:r w:rsidR="005656E1" w:rsidRPr="005656E1">
        <w:rPr>
          <w:rFonts w:cs="Segoe UI"/>
          <w:b/>
          <w:bCs/>
          <w:i/>
          <w:iCs/>
          <w:szCs w:val="22"/>
        </w:rPr>
        <w:t>dokumentace</w:t>
      </w:r>
      <w:r w:rsidR="005656E1">
        <w:rPr>
          <w:rFonts w:cs="Segoe UI"/>
          <w:szCs w:val="22"/>
        </w:rPr>
        <w:t xml:space="preserve">“) </w:t>
      </w:r>
      <w:r w:rsidRPr="005656E1">
        <w:rPr>
          <w:rFonts w:cs="Segoe UI"/>
          <w:szCs w:val="22"/>
        </w:rPr>
        <w:t>sloužící</w:t>
      </w:r>
      <w:r>
        <w:rPr>
          <w:rFonts w:cs="Segoe UI"/>
          <w:szCs w:val="22"/>
        </w:rPr>
        <w:t xml:space="preserve"> jako podklad k realizaci výstavby objektu či souboru objektů, které budou </w:t>
      </w:r>
      <w:r w:rsidR="00082AD0">
        <w:rPr>
          <w:rFonts w:cs="Segoe UI"/>
          <w:szCs w:val="22"/>
        </w:rPr>
        <w:t xml:space="preserve">v zadavatelem předem stanoveném rozsahu </w:t>
      </w:r>
      <w:r>
        <w:rPr>
          <w:rFonts w:cs="Segoe UI"/>
          <w:szCs w:val="22"/>
        </w:rPr>
        <w:t>splňovat zadavatelem předem stanovený účel využití</w:t>
      </w:r>
      <w:r w:rsidR="00481EC5">
        <w:rPr>
          <w:rFonts w:cs="Segoe UI"/>
          <w:szCs w:val="22"/>
        </w:rPr>
        <w:t xml:space="preserve"> (dále jen „</w:t>
      </w:r>
      <w:r w:rsidR="00481EC5">
        <w:rPr>
          <w:rFonts w:cs="Segoe UI"/>
          <w:b/>
          <w:bCs/>
          <w:i/>
          <w:iCs/>
          <w:szCs w:val="22"/>
        </w:rPr>
        <w:t>objekt</w:t>
      </w:r>
      <w:r w:rsidR="00481EC5">
        <w:rPr>
          <w:rFonts w:cs="Segoe UI"/>
          <w:szCs w:val="22"/>
        </w:rPr>
        <w:t>“)</w:t>
      </w:r>
      <w:r>
        <w:rPr>
          <w:rFonts w:cs="Segoe UI"/>
          <w:szCs w:val="22"/>
        </w:rPr>
        <w:t xml:space="preserve">, </w:t>
      </w:r>
      <w:r w:rsidR="00BC679F" w:rsidRPr="00ED24A3">
        <w:rPr>
          <w:rFonts w:cs="Segoe UI"/>
          <w:szCs w:val="22"/>
        </w:rPr>
        <w:t xml:space="preserve">a realizace výstavby objektu </w:t>
      </w:r>
      <w:r w:rsidR="00082AD0">
        <w:rPr>
          <w:rFonts w:cs="Segoe UI"/>
          <w:szCs w:val="22"/>
        </w:rPr>
        <w:t xml:space="preserve">na dotčené ploše </w:t>
      </w:r>
      <w:r w:rsidR="00ED24A3">
        <w:rPr>
          <w:rFonts w:cs="Segoe UI"/>
          <w:szCs w:val="22"/>
        </w:rPr>
        <w:t>v souladu s</w:t>
      </w:r>
      <w:r w:rsidR="00082AD0">
        <w:rPr>
          <w:rFonts w:cs="Segoe UI"/>
          <w:szCs w:val="22"/>
        </w:rPr>
        <w:t> </w:t>
      </w:r>
      <w:r w:rsidR="00ED24A3">
        <w:rPr>
          <w:rFonts w:cs="Segoe UI"/>
          <w:szCs w:val="22"/>
        </w:rPr>
        <w:t>projektovou dokumentací</w:t>
      </w:r>
      <w:r w:rsidR="00082AD0">
        <w:rPr>
          <w:rFonts w:cs="Segoe UI"/>
          <w:szCs w:val="22"/>
        </w:rPr>
        <w:t>;</w:t>
      </w:r>
    </w:p>
    <w:p w14:paraId="61F08A77" w14:textId="3302DB23" w:rsidR="00441D52" w:rsidRDefault="00082AD0" w:rsidP="00441D52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umožnění užívání objektu pro zadavatelem předem stanovený účel v zadavatelem předem stanoveném rozsahu třetími osobami (</w:t>
      </w:r>
      <w:r w:rsidR="00381996">
        <w:rPr>
          <w:rFonts w:cs="Segoe UI"/>
          <w:szCs w:val="22"/>
        </w:rPr>
        <w:t>dále jen „</w:t>
      </w:r>
      <w:r w:rsidR="00381996">
        <w:rPr>
          <w:rFonts w:cs="Segoe UI"/>
          <w:b/>
          <w:bCs/>
          <w:i/>
          <w:iCs/>
          <w:szCs w:val="22"/>
        </w:rPr>
        <w:t>podnájemci</w:t>
      </w:r>
      <w:r w:rsidR="00381996">
        <w:rPr>
          <w:rFonts w:cs="Segoe UI"/>
          <w:szCs w:val="22"/>
        </w:rPr>
        <w:t xml:space="preserve">“) či </w:t>
      </w:r>
      <w:r w:rsidR="00481EC5">
        <w:rPr>
          <w:rFonts w:cs="Segoe UI"/>
          <w:szCs w:val="22"/>
        </w:rPr>
        <w:t xml:space="preserve">provádění </w:t>
      </w:r>
      <w:r w:rsidR="00481EC5">
        <w:rPr>
          <w:rFonts w:cs="Segoe UI"/>
          <w:szCs w:val="22"/>
        </w:rPr>
        <w:lastRenderedPageBreak/>
        <w:t>jiného provozu objektu</w:t>
      </w:r>
      <w:r w:rsidR="0037047D">
        <w:rPr>
          <w:rFonts w:cs="Segoe UI"/>
          <w:szCs w:val="22"/>
        </w:rPr>
        <w:t xml:space="preserve"> minimálně v zadavatelem předem stanoveném rozsahu</w:t>
      </w:r>
      <w:r w:rsidR="00481EC5">
        <w:rPr>
          <w:rFonts w:cs="Segoe UI"/>
          <w:szCs w:val="22"/>
        </w:rPr>
        <w:t xml:space="preserve"> (společně jen „</w:t>
      </w:r>
      <w:r w:rsidR="00481EC5">
        <w:rPr>
          <w:rFonts w:cs="Segoe UI"/>
          <w:b/>
          <w:bCs/>
          <w:i/>
          <w:iCs/>
          <w:szCs w:val="22"/>
        </w:rPr>
        <w:t>provoz</w:t>
      </w:r>
      <w:r w:rsidR="00481EC5">
        <w:rPr>
          <w:rFonts w:cs="Segoe UI"/>
          <w:szCs w:val="22"/>
        </w:rPr>
        <w:t>“) po dobu trvání koncese</w:t>
      </w:r>
      <w:r w:rsidR="00441D52">
        <w:rPr>
          <w:rFonts w:cs="Segoe UI"/>
          <w:szCs w:val="22"/>
        </w:rPr>
        <w:t>.</w:t>
      </w:r>
    </w:p>
    <w:p w14:paraId="20A6C5BC" w14:textId="5A11860D" w:rsidR="00FA28A0" w:rsidRPr="00A71D50" w:rsidRDefault="00830153" w:rsidP="00441D52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cs="Segoe UI"/>
          <w:szCs w:val="22"/>
        </w:rPr>
      </w:pPr>
      <w:r w:rsidRPr="00A71D50">
        <w:rPr>
          <w:rFonts w:cs="Segoe UI"/>
          <w:szCs w:val="22"/>
        </w:rPr>
        <w:t>s</w:t>
      </w:r>
      <w:r w:rsidR="0001539E" w:rsidRPr="00A71D50">
        <w:rPr>
          <w:rFonts w:cs="Segoe UI"/>
          <w:szCs w:val="22"/>
        </w:rPr>
        <w:t>tanovený</w:t>
      </w:r>
      <w:r w:rsidR="003D5CA3" w:rsidRPr="00A71D50">
        <w:rPr>
          <w:rFonts w:cs="Segoe UI"/>
          <w:szCs w:val="22"/>
        </w:rPr>
        <w:t>m</w:t>
      </w:r>
      <w:r w:rsidR="0001539E" w:rsidRPr="00A71D50">
        <w:rPr>
          <w:rFonts w:cs="Segoe UI"/>
          <w:szCs w:val="22"/>
        </w:rPr>
        <w:t xml:space="preserve"> účel</w:t>
      </w:r>
      <w:r w:rsidR="000132E6" w:rsidRPr="00A71D50">
        <w:rPr>
          <w:rFonts w:cs="Segoe UI"/>
          <w:szCs w:val="22"/>
        </w:rPr>
        <w:t xml:space="preserve">em </w:t>
      </w:r>
      <w:r w:rsidR="00D97383" w:rsidRPr="00A71D50">
        <w:rPr>
          <w:rFonts w:cs="Segoe UI"/>
          <w:szCs w:val="22"/>
        </w:rPr>
        <w:t>je využití</w:t>
      </w:r>
      <w:r w:rsidR="003D5CA3" w:rsidRPr="00A71D50">
        <w:rPr>
          <w:rFonts w:cs="Segoe UI"/>
          <w:szCs w:val="22"/>
        </w:rPr>
        <w:t xml:space="preserve"> pozemků pro</w:t>
      </w:r>
      <w:r w:rsidR="00184465" w:rsidRPr="00A71D50">
        <w:rPr>
          <w:rFonts w:cs="Segoe UI"/>
          <w:szCs w:val="22"/>
        </w:rPr>
        <w:t xml:space="preserve"> vědu, výzkum a inovace (</w:t>
      </w:r>
      <w:proofErr w:type="spellStart"/>
      <w:r w:rsidR="00184465" w:rsidRPr="00A71D50">
        <w:rPr>
          <w:rFonts w:cs="Segoe UI"/>
          <w:szCs w:val="22"/>
        </w:rPr>
        <w:t>VaVaI</w:t>
      </w:r>
      <w:proofErr w:type="spellEnd"/>
      <w:r w:rsidR="00184465" w:rsidRPr="00A71D50">
        <w:rPr>
          <w:rFonts w:cs="Segoe UI"/>
          <w:szCs w:val="22"/>
        </w:rPr>
        <w:t>) nebo pro účely výzkumu a</w:t>
      </w:r>
      <w:r w:rsidR="0019225A" w:rsidRPr="00A71D50">
        <w:rPr>
          <w:rFonts w:cs="Segoe UI"/>
          <w:szCs w:val="22"/>
        </w:rPr>
        <w:t xml:space="preserve"> vývoje (R&amp;D</w:t>
      </w:r>
      <w:r w:rsidR="00387923" w:rsidRPr="00A71D50">
        <w:rPr>
          <w:rFonts w:cs="Segoe UI"/>
          <w:szCs w:val="22"/>
        </w:rPr>
        <w:t>)</w:t>
      </w:r>
      <w:r w:rsidR="00631A9B" w:rsidRPr="00A71D50">
        <w:rPr>
          <w:rFonts w:cs="Segoe UI"/>
          <w:szCs w:val="22"/>
        </w:rPr>
        <w:t xml:space="preserve"> v</w:t>
      </w:r>
      <w:r w:rsidR="00613CB0" w:rsidRPr="00A71D50">
        <w:rPr>
          <w:rFonts w:cs="Segoe UI"/>
          <w:szCs w:val="22"/>
        </w:rPr>
        <w:t> </w:t>
      </w:r>
      <w:r w:rsidR="00631A9B" w:rsidRPr="00A71D50">
        <w:rPr>
          <w:rFonts w:cs="Segoe UI"/>
          <w:szCs w:val="22"/>
        </w:rPr>
        <w:t>m</w:t>
      </w:r>
      <w:r w:rsidR="00613CB0" w:rsidRPr="00A71D50">
        <w:rPr>
          <w:rFonts w:cs="Segoe UI"/>
          <w:szCs w:val="22"/>
        </w:rPr>
        <w:t>inimálním rozsahu 30</w:t>
      </w:r>
      <w:r w:rsidR="00AD3938" w:rsidRPr="00A71D50">
        <w:rPr>
          <w:rFonts w:cs="Segoe UI"/>
          <w:szCs w:val="22"/>
        </w:rPr>
        <w:t xml:space="preserve"> </w:t>
      </w:r>
      <w:r w:rsidR="00613CB0" w:rsidRPr="00A71D50">
        <w:rPr>
          <w:rFonts w:cs="Segoe UI"/>
          <w:szCs w:val="22"/>
        </w:rPr>
        <w:t>%, přičemž</w:t>
      </w:r>
      <w:r w:rsidR="00AD3938" w:rsidRPr="00A71D50">
        <w:rPr>
          <w:rFonts w:cs="Segoe UI"/>
          <w:szCs w:val="22"/>
        </w:rPr>
        <w:t xml:space="preserve"> tento</w:t>
      </w:r>
      <w:r w:rsidR="00613CB0" w:rsidRPr="00A71D50">
        <w:rPr>
          <w:rFonts w:cs="Segoe UI"/>
          <w:szCs w:val="22"/>
        </w:rPr>
        <w:t xml:space="preserve"> rozsah může být v jednací fázi zvýšen</w:t>
      </w:r>
      <w:r w:rsidR="005B3669">
        <w:rPr>
          <w:rFonts w:cs="Segoe UI"/>
          <w:szCs w:val="22"/>
        </w:rPr>
        <w:t>.</w:t>
      </w:r>
    </w:p>
    <w:p w14:paraId="44E2251B" w14:textId="2DE02CE0" w:rsidR="001505CE" w:rsidRDefault="001505CE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Doba trvání koncese</w:t>
      </w:r>
    </w:p>
    <w:p w14:paraId="71AD5464" w14:textId="17451427" w:rsidR="009E7ACA" w:rsidRDefault="001505CE" w:rsidP="001505CE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Doba trvání koncese je stanovena na </w:t>
      </w:r>
      <w:r w:rsidR="00F15EBE" w:rsidRPr="00094CA6">
        <w:rPr>
          <w:rFonts w:cs="Segoe UI"/>
          <w:szCs w:val="22"/>
        </w:rPr>
        <w:t>10</w:t>
      </w:r>
      <w:r w:rsidRPr="00094CA6">
        <w:rPr>
          <w:rFonts w:cs="Segoe UI"/>
          <w:szCs w:val="22"/>
        </w:rPr>
        <w:t xml:space="preserve"> let</w:t>
      </w:r>
      <w:r>
        <w:rPr>
          <w:rFonts w:cs="Segoe UI"/>
          <w:szCs w:val="22"/>
        </w:rPr>
        <w:t xml:space="preserve"> od </w:t>
      </w:r>
      <w:r w:rsidR="00F72A7F">
        <w:rPr>
          <w:rFonts w:cs="Segoe UI"/>
          <w:szCs w:val="22"/>
        </w:rPr>
        <w:t>vydání kolaudačního rozhodnutí pro</w:t>
      </w:r>
      <w:r>
        <w:rPr>
          <w:rFonts w:cs="Segoe UI"/>
          <w:szCs w:val="22"/>
        </w:rPr>
        <w:t xml:space="preserve"> objekt.</w:t>
      </w:r>
    </w:p>
    <w:p w14:paraId="345BC84E" w14:textId="6A855BB0" w:rsidR="001505CE" w:rsidRPr="001505CE" w:rsidRDefault="009E7ACA" w:rsidP="001505CE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Po dobu trvání koncese je dodavatel povinen provozovat objekt v souladu s podmínkami </w:t>
      </w:r>
      <w:r w:rsidR="00F72A7F">
        <w:rPr>
          <w:rFonts w:cs="Segoe UI"/>
          <w:szCs w:val="22"/>
        </w:rPr>
        <w:t>způsobu využití a provozu</w:t>
      </w:r>
      <w:r>
        <w:rPr>
          <w:rFonts w:cs="Segoe UI"/>
          <w:szCs w:val="22"/>
        </w:rPr>
        <w:t xml:space="preserve"> objektu stanoven</w:t>
      </w:r>
      <w:r w:rsidR="00883611">
        <w:rPr>
          <w:rFonts w:cs="Segoe UI"/>
          <w:szCs w:val="22"/>
        </w:rPr>
        <w:t>ém</w:t>
      </w:r>
      <w:r>
        <w:rPr>
          <w:rFonts w:cs="Segoe UI"/>
          <w:szCs w:val="22"/>
        </w:rPr>
        <w:t xml:space="preserve"> </w:t>
      </w:r>
      <w:r w:rsidR="00883611">
        <w:rPr>
          <w:rFonts w:cs="Segoe UI"/>
          <w:szCs w:val="22"/>
        </w:rPr>
        <w:t>zadavatelem</w:t>
      </w:r>
      <w:r w:rsidR="00F72A7F">
        <w:rPr>
          <w:rFonts w:cs="Segoe UI"/>
          <w:szCs w:val="22"/>
        </w:rPr>
        <w:t xml:space="preserve"> a nabídkou koncesionáře</w:t>
      </w:r>
      <w:r w:rsidR="00A750CE">
        <w:rPr>
          <w:rFonts w:cs="Segoe UI"/>
          <w:szCs w:val="22"/>
        </w:rPr>
        <w:t>.</w:t>
      </w:r>
    </w:p>
    <w:p w14:paraId="74D00AAB" w14:textId="64A5BA1F" w:rsidR="005656E1" w:rsidRDefault="005656E1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Financování nákladů a výdajů dodavatele</w:t>
      </w:r>
    </w:p>
    <w:p w14:paraId="2D286B65" w14:textId="255FC98F" w:rsidR="005656E1" w:rsidRDefault="005656E1" w:rsidP="005656E1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Dodavatel nese veškeré náklady na zpracování projektové dokumentace, realizaci výstavby</w:t>
      </w:r>
      <w:r w:rsidR="001505CE">
        <w:rPr>
          <w:rFonts w:cs="Segoe UI"/>
          <w:szCs w:val="22"/>
        </w:rPr>
        <w:t xml:space="preserve"> objektu</w:t>
      </w:r>
      <w:r>
        <w:rPr>
          <w:rFonts w:cs="Segoe UI"/>
          <w:szCs w:val="22"/>
        </w:rPr>
        <w:t>, zajištění provozu objektu a další náklady a výdaje</w:t>
      </w:r>
      <w:r w:rsidR="000811D4" w:rsidRPr="000811D4">
        <w:rPr>
          <w:rFonts w:cs="Segoe UI"/>
          <w:szCs w:val="22"/>
        </w:rPr>
        <w:t xml:space="preserve"> </w:t>
      </w:r>
      <w:r w:rsidR="000811D4">
        <w:rPr>
          <w:rFonts w:cs="Segoe UI"/>
          <w:szCs w:val="22"/>
        </w:rPr>
        <w:t>související s objektem</w:t>
      </w:r>
      <w:r w:rsidR="001505CE">
        <w:rPr>
          <w:rFonts w:cs="Segoe UI"/>
          <w:szCs w:val="22"/>
        </w:rPr>
        <w:t>.</w:t>
      </w:r>
    </w:p>
    <w:p w14:paraId="72E6C276" w14:textId="585B4A09" w:rsidR="00F72A7F" w:rsidRPr="005656E1" w:rsidRDefault="00F72A7F" w:rsidP="005656E1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Zadavatel se zaváže k poskytnutí </w:t>
      </w:r>
      <w:r w:rsidR="005B3669">
        <w:rPr>
          <w:rFonts w:cs="Segoe UI"/>
          <w:szCs w:val="22"/>
        </w:rPr>
        <w:t xml:space="preserve">jen </w:t>
      </w:r>
      <w:r>
        <w:rPr>
          <w:rFonts w:cs="Segoe UI"/>
          <w:szCs w:val="22"/>
        </w:rPr>
        <w:t>nezbytné součinnosti, kterou po něm lze spravedlivě požadovat</w:t>
      </w:r>
      <w:r w:rsidR="005B3669">
        <w:rPr>
          <w:rFonts w:cs="Segoe UI"/>
          <w:szCs w:val="22"/>
        </w:rPr>
        <w:t xml:space="preserve"> v mezích právních předpisů</w:t>
      </w:r>
      <w:r>
        <w:rPr>
          <w:rFonts w:cs="Segoe UI"/>
          <w:szCs w:val="22"/>
        </w:rPr>
        <w:t>.</w:t>
      </w:r>
    </w:p>
    <w:p w14:paraId="1E9B934F" w14:textId="113E1957" w:rsidR="005656E1" w:rsidRDefault="001F3B43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 xml:space="preserve">Odpovědnost a </w:t>
      </w:r>
      <w:r w:rsidR="00441D52">
        <w:rPr>
          <w:rFonts w:cs="Segoe UI"/>
          <w:b/>
          <w:bCs/>
          <w:szCs w:val="22"/>
        </w:rPr>
        <w:t>rizik</w:t>
      </w:r>
      <w:r>
        <w:rPr>
          <w:rFonts w:cs="Segoe UI"/>
          <w:b/>
          <w:bCs/>
          <w:szCs w:val="22"/>
        </w:rPr>
        <w:t>o</w:t>
      </w:r>
    </w:p>
    <w:p w14:paraId="4803FF10" w14:textId="7CA04042" w:rsidR="00E85493" w:rsidRDefault="001F3B43" w:rsidP="00E85493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</w:rPr>
      </w:pPr>
      <w:r w:rsidRPr="00422CC5">
        <w:rPr>
          <w:rFonts w:cs="Segoe UI"/>
        </w:rPr>
        <w:t xml:space="preserve">Zadavatel neodpovídá a nenese riziko za jakékoli závazky a dluhy </w:t>
      </w:r>
      <w:r>
        <w:rPr>
          <w:rFonts w:cs="Segoe UI"/>
        </w:rPr>
        <w:t xml:space="preserve">dodavatele </w:t>
      </w:r>
      <w:r w:rsidRPr="00422CC5">
        <w:rPr>
          <w:rFonts w:cs="Segoe UI"/>
        </w:rPr>
        <w:t xml:space="preserve">spojené </w:t>
      </w:r>
      <w:r w:rsidR="00204D93">
        <w:rPr>
          <w:rFonts w:cs="Segoe UI"/>
        </w:rPr>
        <w:t xml:space="preserve">se zajištěním zpracování projektové dokumentace objektu, </w:t>
      </w:r>
      <w:r w:rsidRPr="00422CC5">
        <w:rPr>
          <w:rFonts w:cs="Segoe UI"/>
        </w:rPr>
        <w:t>s</w:t>
      </w:r>
      <w:r>
        <w:rPr>
          <w:rFonts w:cs="Segoe UI"/>
        </w:rPr>
        <w:t xml:space="preserve"> realizací výstavby objektu a jeho provozem. </w:t>
      </w:r>
      <w:r w:rsidR="002B073D">
        <w:rPr>
          <w:rFonts w:cs="Segoe UI"/>
        </w:rPr>
        <w:t>Dodavatel odpovídá za plnění všech svých poddodavatelů a za realizaci plnění v</w:t>
      </w:r>
      <w:r w:rsidR="004A091B">
        <w:rPr>
          <w:rFonts w:cs="Segoe UI"/>
        </w:rPr>
        <w:t> </w:t>
      </w:r>
      <w:r w:rsidR="002B073D">
        <w:rPr>
          <w:rFonts w:cs="Segoe UI"/>
        </w:rPr>
        <w:t>souladu</w:t>
      </w:r>
      <w:r w:rsidR="004A091B">
        <w:rPr>
          <w:rFonts w:cs="Segoe UI"/>
        </w:rPr>
        <w:t xml:space="preserve"> s</w:t>
      </w:r>
      <w:r w:rsidR="002B073D">
        <w:rPr>
          <w:rFonts w:cs="Segoe UI"/>
        </w:rPr>
        <w:t xml:space="preserve"> </w:t>
      </w:r>
      <w:r w:rsidR="004A091B" w:rsidRPr="00FC4B6F">
        <w:rPr>
          <w:rFonts w:cs="Segoe UI"/>
          <w:szCs w:val="22"/>
        </w:rPr>
        <w:t>platným Územním plánem města Brna</w:t>
      </w:r>
      <w:r w:rsidR="004A091B">
        <w:rPr>
          <w:rFonts w:cs="Segoe UI"/>
          <w:szCs w:val="22"/>
        </w:rPr>
        <w:t xml:space="preserve"> a </w:t>
      </w:r>
      <w:r w:rsidR="002B073D">
        <w:rPr>
          <w:rFonts w:cs="Segoe UI"/>
        </w:rPr>
        <w:t xml:space="preserve">s právními předpisy, zejména předpisy týkající se ochrany životního prostředí, nakládání s odpady, požární ochrany a BOZP. </w:t>
      </w:r>
    </w:p>
    <w:p w14:paraId="7FA63C80" w14:textId="11229019" w:rsidR="002B073D" w:rsidRPr="002B073D" w:rsidRDefault="001F3B43" w:rsidP="002B073D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</w:rPr>
      </w:pPr>
      <w:r>
        <w:rPr>
          <w:rFonts w:cs="Segoe UI"/>
        </w:rPr>
        <w:t xml:space="preserve">Dodavatel nese veškerá provozní rizika spojená s braním užitků z provozování objektu. </w:t>
      </w:r>
    </w:p>
    <w:p w14:paraId="1E9138B0" w14:textId="21C82494" w:rsidR="00E85493" w:rsidRDefault="002B073D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Časový harmonogram</w:t>
      </w:r>
    </w:p>
    <w:p w14:paraId="10BB3B7B" w14:textId="6077BD4D" w:rsidR="002B073D" w:rsidRDefault="001954BB" w:rsidP="002B073D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K převodu vlastnického práva k pozemkům dotčené plochy dojde na základě platné a účinné smlouvy </w:t>
      </w:r>
      <w:r w:rsidR="00204D93">
        <w:rPr>
          <w:rFonts w:cs="Segoe UI"/>
          <w:szCs w:val="22"/>
        </w:rPr>
        <w:t xml:space="preserve">uzavřené </w:t>
      </w:r>
      <w:r>
        <w:rPr>
          <w:rFonts w:cs="Segoe UI"/>
          <w:szCs w:val="22"/>
        </w:rPr>
        <w:t xml:space="preserve">s vybraným dodavatelem po uhrazení </w:t>
      </w:r>
      <w:r w:rsidR="00204D93">
        <w:rPr>
          <w:rFonts w:cs="Segoe UI"/>
          <w:szCs w:val="22"/>
        </w:rPr>
        <w:t xml:space="preserve">celkové </w:t>
      </w:r>
      <w:r>
        <w:rPr>
          <w:rFonts w:cs="Segoe UI"/>
          <w:szCs w:val="22"/>
        </w:rPr>
        <w:t>kupní ceny pozemků</w:t>
      </w:r>
      <w:r w:rsidR="00204D93">
        <w:rPr>
          <w:rFonts w:cs="Segoe UI"/>
          <w:szCs w:val="22"/>
        </w:rPr>
        <w:t xml:space="preserve"> dotčené plochy</w:t>
      </w:r>
      <w:r>
        <w:rPr>
          <w:rFonts w:cs="Segoe UI"/>
          <w:szCs w:val="22"/>
        </w:rPr>
        <w:t xml:space="preserve">.  </w:t>
      </w:r>
    </w:p>
    <w:p w14:paraId="4563CD55" w14:textId="2F6C230A" w:rsidR="002B073D" w:rsidRPr="002B073D" w:rsidRDefault="002B073D" w:rsidP="002B073D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Termín </w:t>
      </w:r>
      <w:r w:rsidR="001954BB">
        <w:rPr>
          <w:rFonts w:cs="Segoe UI"/>
          <w:szCs w:val="22"/>
        </w:rPr>
        <w:t xml:space="preserve">zahájení a dokončení </w:t>
      </w:r>
      <w:r>
        <w:rPr>
          <w:rFonts w:cs="Segoe UI"/>
          <w:szCs w:val="22"/>
        </w:rPr>
        <w:t xml:space="preserve">realizace výstavby objektu je závislý na </w:t>
      </w:r>
      <w:r w:rsidR="001954BB">
        <w:rPr>
          <w:rFonts w:cs="Segoe UI"/>
          <w:szCs w:val="22"/>
        </w:rPr>
        <w:t xml:space="preserve">etapizaci a fázování projektu dodavatele a na jeho projednání v jednací fázi zadávacího (koncesního) řízení. </w:t>
      </w:r>
    </w:p>
    <w:p w14:paraId="4A2D8E31" w14:textId="43901500" w:rsidR="002B073D" w:rsidRDefault="001954BB" w:rsidP="00A71D50">
      <w:pPr>
        <w:pStyle w:val="Odstavecseseznamem"/>
        <w:keepNext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Cena a platební podmínky</w:t>
      </w:r>
    </w:p>
    <w:p w14:paraId="01C35DE6" w14:textId="409112FE" w:rsidR="001954BB" w:rsidRPr="001954BB" w:rsidRDefault="001954BB" w:rsidP="001954BB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Celkovou kupní cenu pozemk</w:t>
      </w:r>
      <w:r w:rsidR="00947382">
        <w:rPr>
          <w:rFonts w:cs="Segoe UI"/>
          <w:szCs w:val="22"/>
        </w:rPr>
        <w:t>ů</w:t>
      </w:r>
      <w:r>
        <w:rPr>
          <w:rFonts w:cs="Segoe UI"/>
          <w:szCs w:val="22"/>
        </w:rPr>
        <w:t xml:space="preserve"> </w:t>
      </w:r>
      <w:r w:rsidR="00CE3958">
        <w:rPr>
          <w:rFonts w:cs="Segoe UI"/>
          <w:szCs w:val="22"/>
        </w:rPr>
        <w:t xml:space="preserve">na </w:t>
      </w:r>
      <w:r>
        <w:rPr>
          <w:rFonts w:cs="Segoe UI"/>
          <w:szCs w:val="22"/>
        </w:rPr>
        <w:t>dotčené plo</w:t>
      </w:r>
      <w:r w:rsidR="00CE3958">
        <w:rPr>
          <w:rFonts w:cs="Segoe UI"/>
          <w:szCs w:val="22"/>
        </w:rPr>
        <w:t>še</w:t>
      </w:r>
      <w:r>
        <w:rPr>
          <w:rFonts w:cs="Segoe UI"/>
          <w:szCs w:val="22"/>
        </w:rPr>
        <w:t xml:space="preserve"> uhradí dodavatel </w:t>
      </w:r>
      <w:r w:rsidR="00947382">
        <w:rPr>
          <w:rFonts w:cs="Segoe UI"/>
          <w:szCs w:val="22"/>
        </w:rPr>
        <w:t xml:space="preserve">do 10 dnů ode dne účinnosti smlouvy na bankovní účet zadavatele. Neuhradí-li dodavatel řádně a včas kupní cenu, má zadavatel právo od smlouvy odstoupit. </w:t>
      </w:r>
    </w:p>
    <w:p w14:paraId="6C22AD9F" w14:textId="4ADB8CC4" w:rsidR="001954BB" w:rsidRDefault="00947382" w:rsidP="00301137">
      <w:pPr>
        <w:pStyle w:val="Odstavecseseznamem"/>
        <w:keepNext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lastRenderedPageBreak/>
        <w:t>Vklad práv do katastru nemovitostí</w:t>
      </w:r>
    </w:p>
    <w:p w14:paraId="6334EA27" w14:textId="7D0D2BA2" w:rsidR="00947382" w:rsidRPr="006E778C" w:rsidRDefault="006E778C" w:rsidP="00947382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Dodavatel nese náklady spojené s vklad</w:t>
      </w:r>
      <w:r w:rsidR="00204D93">
        <w:rPr>
          <w:rFonts w:cs="Segoe UI"/>
          <w:szCs w:val="22"/>
        </w:rPr>
        <w:t>em</w:t>
      </w:r>
      <w:r>
        <w:rPr>
          <w:rFonts w:cs="Segoe UI"/>
          <w:szCs w:val="22"/>
        </w:rPr>
        <w:t xml:space="preserve"> vlastnického práva k pozemkům dotčené plochy do katastru </w:t>
      </w:r>
      <w:r w:rsidRPr="006E778C">
        <w:rPr>
          <w:rFonts w:cs="Segoe UI"/>
          <w:szCs w:val="22"/>
        </w:rPr>
        <w:t xml:space="preserve">nemovitostí. </w:t>
      </w:r>
    </w:p>
    <w:p w14:paraId="39991FC0" w14:textId="24F02A36" w:rsidR="006E778C" w:rsidRPr="002E7623" w:rsidRDefault="006E778C" w:rsidP="00F72A7F">
      <w:pPr>
        <w:pStyle w:val="Odstavecseseznamem"/>
        <w:spacing w:before="120" w:after="120" w:line="276" w:lineRule="auto"/>
        <w:ind w:left="284"/>
        <w:contextualSpacing w:val="0"/>
        <w:jc w:val="both"/>
      </w:pPr>
      <w:r>
        <w:rPr>
          <w:rFonts w:cs="Segoe UI"/>
          <w:szCs w:val="22"/>
        </w:rPr>
        <w:t>N</w:t>
      </w:r>
      <w:r w:rsidRPr="006E778C">
        <w:rPr>
          <w:rFonts w:cs="Segoe UI"/>
          <w:szCs w:val="22"/>
        </w:rPr>
        <w:t xml:space="preserve">ávrh na zahájení řízení o povolení vkladu </w:t>
      </w:r>
      <w:r>
        <w:rPr>
          <w:rFonts w:cs="Segoe UI"/>
          <w:szCs w:val="22"/>
        </w:rPr>
        <w:t xml:space="preserve">vlastnického </w:t>
      </w:r>
      <w:r w:rsidRPr="006E778C">
        <w:rPr>
          <w:rFonts w:cs="Segoe UI"/>
          <w:szCs w:val="22"/>
        </w:rPr>
        <w:t>práv</w:t>
      </w:r>
      <w:r>
        <w:rPr>
          <w:rFonts w:cs="Segoe UI"/>
          <w:szCs w:val="22"/>
        </w:rPr>
        <w:t>a</w:t>
      </w:r>
      <w:r w:rsidRPr="006E778C">
        <w:rPr>
          <w:rFonts w:cs="Segoe UI"/>
          <w:szCs w:val="22"/>
        </w:rPr>
        <w:t xml:space="preserve"> do katastru nemovitostí podá u příslušného katastrálního úřadu </w:t>
      </w:r>
      <w:r>
        <w:rPr>
          <w:rFonts w:cs="Segoe UI"/>
          <w:szCs w:val="22"/>
        </w:rPr>
        <w:t>zadavatel</w:t>
      </w:r>
      <w:r w:rsidRPr="006E778C">
        <w:rPr>
          <w:rFonts w:cs="Segoe UI"/>
          <w:szCs w:val="22"/>
        </w:rPr>
        <w:t xml:space="preserve">, a to do 30 dnů ode dne </w:t>
      </w:r>
      <w:r>
        <w:rPr>
          <w:rFonts w:cs="Segoe UI"/>
          <w:szCs w:val="22"/>
        </w:rPr>
        <w:t xml:space="preserve">uhrazení celkové kupní ceny pozemků dotčené plochy. </w:t>
      </w:r>
      <w:r w:rsidR="005253ED">
        <w:rPr>
          <w:rFonts w:cs="Segoe UI"/>
          <w:szCs w:val="22"/>
        </w:rPr>
        <w:t xml:space="preserve">Uhrazením kupní ceny pozemků dotčené plochy se rozumí </w:t>
      </w:r>
      <w:r w:rsidR="005253ED" w:rsidRPr="002E7623">
        <w:t>připsání</w:t>
      </w:r>
      <w:r w:rsidR="00340500" w:rsidRPr="002E7623">
        <w:t xml:space="preserve"> celkové</w:t>
      </w:r>
      <w:r w:rsidR="005253ED" w:rsidRPr="002E7623">
        <w:t xml:space="preserve"> kupní ceny pozemků dotčené plochy na </w:t>
      </w:r>
      <w:r w:rsidR="00DD39CE" w:rsidRPr="002E7623">
        <w:t xml:space="preserve">bankovní </w:t>
      </w:r>
      <w:r w:rsidR="005253ED" w:rsidRPr="002E7623">
        <w:t xml:space="preserve">účet zadavatele. </w:t>
      </w:r>
    </w:p>
    <w:p w14:paraId="6186D42D" w14:textId="40CD3686" w:rsidR="00A71D50" w:rsidRDefault="002E7623" w:rsidP="00A71D50">
      <w:pPr>
        <w:ind w:left="284"/>
        <w:jc w:val="both"/>
        <w:rPr>
          <w:rFonts w:cs="Segoe UI"/>
          <w:szCs w:val="22"/>
        </w:rPr>
      </w:pPr>
      <w:r w:rsidRPr="008634F9">
        <w:rPr>
          <w:rFonts w:cs="Segoe UI"/>
          <w:szCs w:val="22"/>
        </w:rPr>
        <w:t xml:space="preserve">Smluvní strany současně smlouvou zřídí k pozemkům dotčené plochy zákaz zcizení jako právo věcné ve smyslu ustanovení § 1761 zákona č. 89/2012 Sb., občanský zákoník, ve znění pozdějších předpisů, a to </w:t>
      </w:r>
      <w:r w:rsidR="008B646E" w:rsidRPr="008634F9">
        <w:rPr>
          <w:rFonts w:cs="Segoe UI"/>
          <w:szCs w:val="22"/>
        </w:rPr>
        <w:t>do doby</w:t>
      </w:r>
      <w:r w:rsidRPr="008634F9">
        <w:rPr>
          <w:rFonts w:cs="Segoe UI"/>
          <w:szCs w:val="22"/>
        </w:rPr>
        <w:t xml:space="preserve"> skončení trvání koncese</w:t>
      </w:r>
      <w:r w:rsidR="00F72A7F">
        <w:t xml:space="preserve">; stejným způsobem bude zřízena i výhrada zpětné koupě pro </w:t>
      </w:r>
      <w:r w:rsidR="00F72A7F" w:rsidRPr="00A71D50">
        <w:t>případ nedodržení podmínek plynoucích z uzavřené koncesní smlouvy.</w:t>
      </w:r>
      <w:r w:rsidR="00FA28D9" w:rsidRPr="00A71D50">
        <w:rPr>
          <w:rFonts w:cs="Segoe UI"/>
          <w:szCs w:val="22"/>
        </w:rPr>
        <w:t xml:space="preserve"> </w:t>
      </w:r>
      <w:r w:rsidR="00F72A7F" w:rsidRPr="00A71D50">
        <w:rPr>
          <w:rFonts w:cs="Segoe UI"/>
          <w:szCs w:val="22"/>
        </w:rPr>
        <w:t>Rozsah</w:t>
      </w:r>
      <w:r w:rsidR="00F72A7F">
        <w:rPr>
          <w:rFonts w:cs="Segoe UI"/>
          <w:szCs w:val="22"/>
        </w:rPr>
        <w:t xml:space="preserve"> případných budoucích věcných práv může být předmětem jednání během jednací fáze zadávacího řízení.</w:t>
      </w:r>
    </w:p>
    <w:p w14:paraId="0F501065" w14:textId="18DFECA9" w:rsidR="006D21CA" w:rsidRPr="00A71D50" w:rsidRDefault="006D21CA" w:rsidP="00A71D50">
      <w:pPr>
        <w:ind w:left="284"/>
        <w:jc w:val="both"/>
        <w:rPr>
          <w:rFonts w:cs="Segoe UI"/>
          <w:szCs w:val="22"/>
        </w:rPr>
      </w:pPr>
      <w:r w:rsidRPr="00A71D50">
        <w:rPr>
          <w:rFonts w:cs="Segoe UI"/>
          <w:szCs w:val="22"/>
        </w:rPr>
        <w:t xml:space="preserve">Smluvní strany se vzájemně zavazují poskytnout si veškerou nezbytnou součinnost </w:t>
      </w:r>
      <w:r w:rsidRPr="006D21CA">
        <w:t>v souvislosti s vkladem vlastnického práva k pozemkům dotčené plochy</w:t>
      </w:r>
      <w:r w:rsidR="00340500">
        <w:t xml:space="preserve"> do katastru nemovitostí</w:t>
      </w:r>
      <w:r w:rsidRPr="006D21CA">
        <w:t xml:space="preserve"> </w:t>
      </w:r>
      <w:r w:rsidR="00340500">
        <w:t xml:space="preserve">a </w:t>
      </w:r>
      <w:r w:rsidRPr="006D21CA">
        <w:t xml:space="preserve">případně </w:t>
      </w:r>
      <w:r w:rsidR="00340500">
        <w:t xml:space="preserve">s vkladem </w:t>
      </w:r>
      <w:r w:rsidRPr="006D21CA">
        <w:t xml:space="preserve">dalších práv do katastru nemovitostí. </w:t>
      </w:r>
    </w:p>
    <w:p w14:paraId="1257F07C" w14:textId="2D3BC15A" w:rsidR="006D21CA" w:rsidRPr="006D21CA" w:rsidRDefault="006D21CA" w:rsidP="00947382">
      <w:pPr>
        <w:pStyle w:val="Odstavecseseznamem"/>
        <w:spacing w:before="120" w:after="120" w:line="276" w:lineRule="auto"/>
        <w:ind w:left="284"/>
        <w:contextualSpacing w:val="0"/>
        <w:jc w:val="both"/>
      </w:pPr>
      <w:r w:rsidRPr="006D21CA">
        <w:t xml:space="preserve">V případě, že katastrální úřad návrh na vklad práv zamítne, či řízení zastaví, zavazují se smluvní strany učinit neprodleně potřebné kroky </w:t>
      </w:r>
      <w:r>
        <w:t>k tomu, aby byl</w:t>
      </w:r>
      <w:r w:rsidRPr="006D21CA">
        <w:t xml:space="preserve"> vklad práv </w:t>
      </w:r>
      <w:r>
        <w:t>do katastru nemovitostí</w:t>
      </w:r>
      <w:r w:rsidRPr="006D21CA">
        <w:t xml:space="preserve"> povolen.</w:t>
      </w:r>
    </w:p>
    <w:p w14:paraId="56E8A609" w14:textId="1BB18A93" w:rsidR="00947382" w:rsidRDefault="009B2761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Sankční ustanovení</w:t>
      </w:r>
    </w:p>
    <w:p w14:paraId="76F50C63" w14:textId="7B03D623" w:rsidR="00DD39CE" w:rsidRDefault="00DD39CE" w:rsidP="00DD39CE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Za prodlení s uhrazením celkové kupní ceny pozemků dotčené plochy na bankovní účet zadavatele je dodavatel povinen uhradit zadavateli smluvní pokutu ve výši 0,05 % z celkové </w:t>
      </w:r>
      <w:r w:rsidR="00A3512D">
        <w:rPr>
          <w:rFonts w:cs="Segoe UI"/>
          <w:szCs w:val="22"/>
        </w:rPr>
        <w:t>kupní ceny pozemků dotčené plochy za každý i započatý den prodlení.</w:t>
      </w:r>
    </w:p>
    <w:p w14:paraId="54ED56AD" w14:textId="5D6610BB" w:rsidR="00F72A7F" w:rsidRPr="00A71D50" w:rsidRDefault="00F72A7F" w:rsidP="00F72A7F">
      <w:pPr>
        <w:pStyle w:val="Odstavecseseznamem"/>
        <w:spacing w:before="120" w:after="120" w:line="276" w:lineRule="auto"/>
        <w:ind w:left="284"/>
        <w:jc w:val="both"/>
        <w:rPr>
          <w:rFonts w:cs="Segoe UI"/>
          <w:szCs w:val="22"/>
        </w:rPr>
      </w:pPr>
      <w:r w:rsidRPr="00A71D50">
        <w:rPr>
          <w:rFonts w:cs="Segoe UI"/>
          <w:szCs w:val="22"/>
        </w:rPr>
        <w:t>Koncesionář se zaváže k vybudování provozů podniků s vysokou znalostní intenzitou (technologického parku) na dotčené ploše, kterou současně nabývá do vlastnictví. Realizace výstavby bude probíhat dle aktuálního předpokladu v několika etapách</w:t>
      </w:r>
      <w:r w:rsidR="005B3669">
        <w:rPr>
          <w:rFonts w:cs="Segoe UI"/>
          <w:szCs w:val="22"/>
        </w:rPr>
        <w:t>,</w:t>
      </w:r>
      <w:r w:rsidRPr="00A71D50">
        <w:rPr>
          <w:rFonts w:cs="Segoe UI"/>
          <w:szCs w:val="22"/>
        </w:rPr>
        <w:t xml:space="preserve"> jejichž term</w:t>
      </w:r>
      <w:r w:rsidR="005B3669">
        <w:rPr>
          <w:rFonts w:cs="Segoe UI"/>
          <w:szCs w:val="22"/>
        </w:rPr>
        <w:t>í</w:t>
      </w:r>
      <w:r w:rsidRPr="00663712">
        <w:rPr>
          <w:rFonts w:cs="Segoe UI"/>
          <w:szCs w:val="22"/>
        </w:rPr>
        <w:t xml:space="preserve">ny budou </w:t>
      </w:r>
      <w:r w:rsidR="005B3669">
        <w:rPr>
          <w:rFonts w:cs="Segoe UI"/>
          <w:szCs w:val="22"/>
        </w:rPr>
        <w:t>pro</w:t>
      </w:r>
      <w:r w:rsidRPr="00663712">
        <w:rPr>
          <w:rFonts w:cs="Segoe UI"/>
          <w:szCs w:val="22"/>
        </w:rPr>
        <w:t>jednány v rámci jednání</w:t>
      </w:r>
      <w:r w:rsidR="005B3669">
        <w:rPr>
          <w:rFonts w:cs="Segoe UI"/>
          <w:szCs w:val="22"/>
        </w:rPr>
        <w:t xml:space="preserve"> s</w:t>
      </w:r>
      <w:r w:rsidRPr="00A71D50">
        <w:rPr>
          <w:rFonts w:cs="Segoe UI"/>
          <w:szCs w:val="22"/>
        </w:rPr>
        <w:t xml:space="preserve"> účastníky, kdy půjde o </w:t>
      </w:r>
    </w:p>
    <w:p w14:paraId="302309C8" w14:textId="77777777" w:rsidR="00F72A7F" w:rsidRPr="00A71D50" w:rsidRDefault="00F72A7F" w:rsidP="00F72A7F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cs="Segoe UI"/>
          <w:szCs w:val="22"/>
        </w:rPr>
      </w:pPr>
      <w:r w:rsidRPr="00A71D50">
        <w:rPr>
          <w:rFonts w:cs="Segoe UI"/>
          <w:szCs w:val="22"/>
        </w:rPr>
        <w:t xml:space="preserve">termín vyhotovení projektové dokumentace pro povolení záměru, </w:t>
      </w:r>
    </w:p>
    <w:p w14:paraId="4B3B1CD1" w14:textId="71BBBBF0" w:rsidR="00F72A7F" w:rsidRPr="00663712" w:rsidRDefault="00376E4D" w:rsidP="00F72A7F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>t</w:t>
      </w:r>
      <w:r w:rsidR="00F72A7F" w:rsidRPr="00663712">
        <w:rPr>
          <w:rFonts w:cs="Segoe UI"/>
          <w:szCs w:val="22"/>
        </w:rPr>
        <w:t xml:space="preserve">ermín získání povolení záměru, </w:t>
      </w:r>
    </w:p>
    <w:p w14:paraId="35CD4BA1" w14:textId="3BEBD7A2" w:rsidR="00F72A7F" w:rsidRPr="00A71D50" w:rsidRDefault="00376E4D" w:rsidP="00F72A7F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>t</w:t>
      </w:r>
      <w:r w:rsidR="00F72A7F" w:rsidRPr="00663712">
        <w:rPr>
          <w:rFonts w:cs="Segoe UI"/>
          <w:szCs w:val="22"/>
        </w:rPr>
        <w:t>ermín zahájení výstavby</w:t>
      </w:r>
      <w:r>
        <w:rPr>
          <w:rFonts w:cs="Segoe UI"/>
          <w:szCs w:val="22"/>
        </w:rPr>
        <w:t>,</w:t>
      </w:r>
    </w:p>
    <w:p w14:paraId="1FDB20D4" w14:textId="0A036CBD" w:rsidR="00F72A7F" w:rsidRPr="00A71D50" w:rsidRDefault="00376E4D" w:rsidP="00F72A7F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>t</w:t>
      </w:r>
      <w:r w:rsidR="00F72A7F" w:rsidRPr="00663712">
        <w:rPr>
          <w:rFonts w:cs="Segoe UI"/>
          <w:szCs w:val="22"/>
        </w:rPr>
        <w:t>ermín realizace výstavby objektů či jejich část</w:t>
      </w:r>
      <w:r>
        <w:rPr>
          <w:rFonts w:cs="Segoe UI"/>
          <w:szCs w:val="22"/>
        </w:rPr>
        <w:t>í,</w:t>
      </w:r>
    </w:p>
    <w:p w14:paraId="3487277A" w14:textId="031EE331" w:rsidR="00F72A7F" w:rsidRPr="00376E4D" w:rsidRDefault="00F72A7F" w:rsidP="00A71D50">
      <w:pPr>
        <w:spacing w:before="120" w:after="120" w:line="276" w:lineRule="auto"/>
        <w:ind w:left="360"/>
        <w:jc w:val="both"/>
        <w:rPr>
          <w:rFonts w:cs="Segoe UI"/>
          <w:szCs w:val="22"/>
        </w:rPr>
      </w:pPr>
      <w:r w:rsidRPr="00A71D50">
        <w:rPr>
          <w:rFonts w:cs="Segoe UI"/>
          <w:szCs w:val="22"/>
        </w:rPr>
        <w:t xml:space="preserve">kdy pro případ </w:t>
      </w:r>
      <w:r w:rsidR="00F632B8">
        <w:rPr>
          <w:rFonts w:cs="Segoe UI"/>
          <w:szCs w:val="22"/>
        </w:rPr>
        <w:t>jejich</w:t>
      </w:r>
      <w:r w:rsidRPr="00A71D50">
        <w:rPr>
          <w:rFonts w:cs="Segoe UI"/>
          <w:szCs w:val="22"/>
        </w:rPr>
        <w:t xml:space="preserve"> nesplnění bude</w:t>
      </w:r>
      <w:r w:rsidR="00376E4D">
        <w:rPr>
          <w:rFonts w:cs="Segoe UI"/>
          <w:szCs w:val="22"/>
        </w:rPr>
        <w:t xml:space="preserve"> definováno sankční ustanovení</w:t>
      </w:r>
      <w:r w:rsidRPr="00376E4D">
        <w:rPr>
          <w:rFonts w:cs="Segoe UI"/>
          <w:szCs w:val="22"/>
        </w:rPr>
        <w:t xml:space="preserve">. </w:t>
      </w:r>
    </w:p>
    <w:p w14:paraId="37879D44" w14:textId="6C1239E7" w:rsidR="00A3512D" w:rsidRDefault="00A3512D" w:rsidP="00DD39CE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Další smluvní pokuty budou záviset </w:t>
      </w:r>
      <w:r w:rsidR="00C44323">
        <w:rPr>
          <w:rFonts w:cs="Segoe UI"/>
          <w:szCs w:val="22"/>
        </w:rPr>
        <w:t>na stanovení</w:t>
      </w:r>
      <w:r>
        <w:rPr>
          <w:rFonts w:cs="Segoe UI"/>
          <w:szCs w:val="22"/>
        </w:rPr>
        <w:t xml:space="preserve"> práv a povinností smluvních stran dle projednání podmínek smlouvy s kvalifikovanými účastníky zadávacího řízení. </w:t>
      </w:r>
    </w:p>
    <w:p w14:paraId="4A4404D2" w14:textId="34728286" w:rsidR="00A3512D" w:rsidRDefault="00A3512D" w:rsidP="00DD39CE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Smluvní pokuty jsou splatné do 30 dnů ode dne jejich vyúčtování a uplatnění oprávněn</w:t>
      </w:r>
      <w:r w:rsidR="00592CFD">
        <w:rPr>
          <w:rFonts w:cs="Segoe UI"/>
          <w:szCs w:val="22"/>
        </w:rPr>
        <w:t>ou</w:t>
      </w:r>
      <w:r>
        <w:rPr>
          <w:rFonts w:cs="Segoe UI"/>
          <w:szCs w:val="22"/>
        </w:rPr>
        <w:t xml:space="preserve"> smluvní stran</w:t>
      </w:r>
      <w:r w:rsidR="00592CFD">
        <w:rPr>
          <w:rFonts w:cs="Segoe UI"/>
          <w:szCs w:val="22"/>
        </w:rPr>
        <w:t>ou</w:t>
      </w:r>
      <w:r>
        <w:rPr>
          <w:rFonts w:cs="Segoe UI"/>
          <w:szCs w:val="22"/>
        </w:rPr>
        <w:t xml:space="preserve"> vůči povinné smluvní straně. Uplatnění nároku na smluvní pokutu nezbavuje oprávněnou smluvní stranu nároku na náhradu škody. </w:t>
      </w:r>
    </w:p>
    <w:p w14:paraId="5F434B35" w14:textId="4C5A58F7" w:rsidR="00DD39CE" w:rsidRDefault="005037C3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lastRenderedPageBreak/>
        <w:t>Ochrana důvěrných informací</w:t>
      </w:r>
    </w:p>
    <w:p w14:paraId="71E7673A" w14:textId="28062107" w:rsidR="005037C3" w:rsidRPr="005037C3" w:rsidRDefault="005037C3" w:rsidP="005037C3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Smluvní strany jsou povinny chránit důvěrné informace vzájemně si poskytnuté a sdílet tyto informace se třetími osobami pouze s předchozím souhlasem té smluvní strany, které důvěrné informace druhé smluvní straně poskytla. Závazek mlčenlivosti trvá i po ukončení smlouvy.</w:t>
      </w:r>
    </w:p>
    <w:p w14:paraId="300F1E0F" w14:textId="2D2770AD" w:rsidR="005037C3" w:rsidRDefault="005037C3" w:rsidP="005656E1">
      <w:pPr>
        <w:pStyle w:val="Odstavecseseznamem"/>
        <w:numPr>
          <w:ilvl w:val="0"/>
          <w:numId w:val="5"/>
        </w:numPr>
        <w:spacing w:before="240" w:after="120" w:line="276" w:lineRule="auto"/>
        <w:ind w:left="283" w:hanging="357"/>
        <w:contextualSpacing w:val="0"/>
        <w:jc w:val="both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Ukončení smlouvy</w:t>
      </w:r>
    </w:p>
    <w:p w14:paraId="57263F33" w14:textId="6D2AD959" w:rsidR="005037C3" w:rsidRDefault="005037C3" w:rsidP="005037C3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Smlouva může být ukončena dohodou smluvních stran, odstoupením</w:t>
      </w:r>
      <w:r w:rsidR="008F1139" w:rsidRPr="008F1139">
        <w:rPr>
          <w:rFonts w:cs="Segoe UI"/>
          <w:szCs w:val="22"/>
        </w:rPr>
        <w:t xml:space="preserve"> </w:t>
      </w:r>
      <w:r w:rsidR="008F1139">
        <w:rPr>
          <w:rFonts w:cs="Segoe UI"/>
          <w:szCs w:val="22"/>
        </w:rPr>
        <w:t>od smlouvy</w:t>
      </w:r>
      <w:r>
        <w:rPr>
          <w:rFonts w:cs="Segoe UI"/>
          <w:szCs w:val="22"/>
        </w:rPr>
        <w:t xml:space="preserve"> jedn</w:t>
      </w:r>
      <w:r w:rsidR="008F1139">
        <w:rPr>
          <w:rFonts w:cs="Segoe UI"/>
          <w:szCs w:val="22"/>
        </w:rPr>
        <w:t>ou</w:t>
      </w:r>
      <w:r>
        <w:rPr>
          <w:rFonts w:cs="Segoe UI"/>
          <w:szCs w:val="22"/>
        </w:rPr>
        <w:t xml:space="preserve"> ze smluvních stran z důvodu podstatného porušení smlouvy druhou smluvní stranou nebo uplynutím doby trvání koncese.</w:t>
      </w:r>
    </w:p>
    <w:p w14:paraId="409F35F7" w14:textId="5B5858C3" w:rsidR="00E12EDE" w:rsidRPr="005037C3" w:rsidRDefault="00E12EDE" w:rsidP="005037C3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cs="Segoe UI"/>
          <w:szCs w:val="22"/>
        </w:rPr>
      </w:pPr>
      <w:r>
        <w:rPr>
          <w:rFonts w:cs="Segoe UI"/>
          <w:szCs w:val="22"/>
        </w:rPr>
        <w:t>Zadavatel je zejména oprávněn od smlouvy odstoupit z důvodu neuhrazení kupní ceny pozemků dotčené plochy dodavatelem řádně a včas a/nebo z důvodu porušení podmínek koncese stanovených zadavatelem ze strany dodavatele.</w:t>
      </w:r>
    </w:p>
    <w:p w14:paraId="551EB775" w14:textId="77777777" w:rsidR="00481EC5" w:rsidRPr="005656E1" w:rsidRDefault="00481EC5" w:rsidP="005656E1">
      <w:pPr>
        <w:spacing w:after="120"/>
        <w:jc w:val="both"/>
        <w:rPr>
          <w:rFonts w:cs="Segoe UI"/>
          <w:szCs w:val="22"/>
        </w:rPr>
      </w:pPr>
    </w:p>
    <w:sectPr w:rsidR="00481EC5" w:rsidRPr="005656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34D4" w14:textId="77777777" w:rsidR="00A94712" w:rsidRDefault="00A94712" w:rsidP="00757ED4">
      <w:pPr>
        <w:spacing w:after="0" w:line="240" w:lineRule="auto"/>
      </w:pPr>
      <w:r>
        <w:separator/>
      </w:r>
    </w:p>
  </w:endnote>
  <w:endnote w:type="continuationSeparator" w:id="0">
    <w:p w14:paraId="5C145893" w14:textId="77777777" w:rsidR="00A94712" w:rsidRDefault="00A94712" w:rsidP="0075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6BDC" w14:textId="77777777" w:rsidR="00A94712" w:rsidRDefault="00A94712" w:rsidP="00757ED4">
      <w:pPr>
        <w:spacing w:after="0" w:line="240" w:lineRule="auto"/>
      </w:pPr>
      <w:r>
        <w:separator/>
      </w:r>
    </w:p>
  </w:footnote>
  <w:footnote w:type="continuationSeparator" w:id="0">
    <w:p w14:paraId="607EDD8B" w14:textId="77777777" w:rsidR="00A94712" w:rsidRDefault="00A94712" w:rsidP="0075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4023" w14:textId="23821730" w:rsidR="00757ED4" w:rsidRPr="00DF2CD4" w:rsidRDefault="00757ED4">
    <w:pPr>
      <w:pStyle w:val="Zhlav"/>
      <w:rPr>
        <w:rFonts w:cs="Segoe UI"/>
        <w:szCs w:val="22"/>
      </w:rPr>
    </w:pPr>
    <w:r w:rsidRPr="00DF2CD4">
      <w:rPr>
        <w:rFonts w:cs="Segoe UI"/>
        <w:szCs w:val="22"/>
      </w:rPr>
      <w:t xml:space="preserve">Příloha č. 1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3BF"/>
    <w:multiLevelType w:val="multilevel"/>
    <w:tmpl w:val="0DF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02919"/>
    <w:multiLevelType w:val="hybridMultilevel"/>
    <w:tmpl w:val="FDBA9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4165"/>
    <w:multiLevelType w:val="hybridMultilevel"/>
    <w:tmpl w:val="B62E74D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4A84"/>
    <w:multiLevelType w:val="hybridMultilevel"/>
    <w:tmpl w:val="7A2EB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C98"/>
    <w:multiLevelType w:val="hybridMultilevel"/>
    <w:tmpl w:val="40986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74CD2"/>
    <w:multiLevelType w:val="multilevel"/>
    <w:tmpl w:val="B13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93F2A"/>
    <w:multiLevelType w:val="hybridMultilevel"/>
    <w:tmpl w:val="EBE2E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71062">
    <w:abstractNumId w:val="2"/>
  </w:num>
  <w:num w:numId="2" w16cid:durableId="709065167">
    <w:abstractNumId w:val="4"/>
  </w:num>
  <w:num w:numId="3" w16cid:durableId="779300606">
    <w:abstractNumId w:val="6"/>
  </w:num>
  <w:num w:numId="4" w16cid:durableId="1497962920">
    <w:abstractNumId w:val="1"/>
  </w:num>
  <w:num w:numId="5" w16cid:durableId="663826873">
    <w:abstractNumId w:val="3"/>
  </w:num>
  <w:num w:numId="6" w16cid:durableId="1942300034">
    <w:abstractNumId w:val="5"/>
  </w:num>
  <w:num w:numId="7" w16cid:durableId="1854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D4"/>
    <w:rsid w:val="000132E6"/>
    <w:rsid w:val="0001539E"/>
    <w:rsid w:val="00055298"/>
    <w:rsid w:val="000562FC"/>
    <w:rsid w:val="0005718B"/>
    <w:rsid w:val="000811D4"/>
    <w:rsid w:val="00082AD0"/>
    <w:rsid w:val="000857FE"/>
    <w:rsid w:val="00094CA6"/>
    <w:rsid w:val="000F5F00"/>
    <w:rsid w:val="001505CE"/>
    <w:rsid w:val="00184465"/>
    <w:rsid w:val="0019225A"/>
    <w:rsid w:val="001954BB"/>
    <w:rsid w:val="001F3B43"/>
    <w:rsid w:val="00204D93"/>
    <w:rsid w:val="00216EBF"/>
    <w:rsid w:val="0024354E"/>
    <w:rsid w:val="00267687"/>
    <w:rsid w:val="0028730F"/>
    <w:rsid w:val="00296B7F"/>
    <w:rsid w:val="002B073D"/>
    <w:rsid w:val="002E7623"/>
    <w:rsid w:val="00301137"/>
    <w:rsid w:val="00340500"/>
    <w:rsid w:val="0037047D"/>
    <w:rsid w:val="00376E4D"/>
    <w:rsid w:val="00381996"/>
    <w:rsid w:val="00387923"/>
    <w:rsid w:val="003A4A88"/>
    <w:rsid w:val="003C0A33"/>
    <w:rsid w:val="003D5CA3"/>
    <w:rsid w:val="00403C3E"/>
    <w:rsid w:val="004057C0"/>
    <w:rsid w:val="00427DC4"/>
    <w:rsid w:val="00441D52"/>
    <w:rsid w:val="00481EC5"/>
    <w:rsid w:val="004A091B"/>
    <w:rsid w:val="004B1048"/>
    <w:rsid w:val="004E46C8"/>
    <w:rsid w:val="005037C3"/>
    <w:rsid w:val="005253ED"/>
    <w:rsid w:val="00556BCC"/>
    <w:rsid w:val="00556FEC"/>
    <w:rsid w:val="005656E1"/>
    <w:rsid w:val="00592CFD"/>
    <w:rsid w:val="005B3669"/>
    <w:rsid w:val="005C5AF4"/>
    <w:rsid w:val="005F6B50"/>
    <w:rsid w:val="00613CB0"/>
    <w:rsid w:val="00616380"/>
    <w:rsid w:val="00631A9B"/>
    <w:rsid w:val="006412FD"/>
    <w:rsid w:val="00663712"/>
    <w:rsid w:val="006A0E04"/>
    <w:rsid w:val="006D21CA"/>
    <w:rsid w:val="006E778C"/>
    <w:rsid w:val="00757ED4"/>
    <w:rsid w:val="007904B8"/>
    <w:rsid w:val="007F7667"/>
    <w:rsid w:val="00830153"/>
    <w:rsid w:val="00851E27"/>
    <w:rsid w:val="008634F9"/>
    <w:rsid w:val="00883611"/>
    <w:rsid w:val="008A3881"/>
    <w:rsid w:val="008A600D"/>
    <w:rsid w:val="008A6091"/>
    <w:rsid w:val="008B646E"/>
    <w:rsid w:val="008D0972"/>
    <w:rsid w:val="008E34D2"/>
    <w:rsid w:val="008E76B8"/>
    <w:rsid w:val="008F100A"/>
    <w:rsid w:val="008F1139"/>
    <w:rsid w:val="00945414"/>
    <w:rsid w:val="00947293"/>
    <w:rsid w:val="00947382"/>
    <w:rsid w:val="009774B3"/>
    <w:rsid w:val="009864D9"/>
    <w:rsid w:val="009B14F0"/>
    <w:rsid w:val="009B2761"/>
    <w:rsid w:val="009E7ACA"/>
    <w:rsid w:val="00A229DA"/>
    <w:rsid w:val="00A3512D"/>
    <w:rsid w:val="00A71D50"/>
    <w:rsid w:val="00A750CE"/>
    <w:rsid w:val="00A94712"/>
    <w:rsid w:val="00AA4748"/>
    <w:rsid w:val="00AB038E"/>
    <w:rsid w:val="00AB6CB5"/>
    <w:rsid w:val="00AD3938"/>
    <w:rsid w:val="00B108B2"/>
    <w:rsid w:val="00B653F0"/>
    <w:rsid w:val="00BC679F"/>
    <w:rsid w:val="00BD0FFE"/>
    <w:rsid w:val="00BF1243"/>
    <w:rsid w:val="00C05FE9"/>
    <w:rsid w:val="00C44323"/>
    <w:rsid w:val="00CD76AC"/>
    <w:rsid w:val="00CD7709"/>
    <w:rsid w:val="00CE3958"/>
    <w:rsid w:val="00D97383"/>
    <w:rsid w:val="00DD1401"/>
    <w:rsid w:val="00DD1F64"/>
    <w:rsid w:val="00DD39CE"/>
    <w:rsid w:val="00DF2CD4"/>
    <w:rsid w:val="00DF673F"/>
    <w:rsid w:val="00E011C0"/>
    <w:rsid w:val="00E12EDE"/>
    <w:rsid w:val="00E85493"/>
    <w:rsid w:val="00E949C4"/>
    <w:rsid w:val="00ED24A3"/>
    <w:rsid w:val="00EF172B"/>
    <w:rsid w:val="00F07556"/>
    <w:rsid w:val="00F15EBE"/>
    <w:rsid w:val="00F40E13"/>
    <w:rsid w:val="00F632B8"/>
    <w:rsid w:val="00F71575"/>
    <w:rsid w:val="00F72A7F"/>
    <w:rsid w:val="00F97775"/>
    <w:rsid w:val="00FA28A0"/>
    <w:rsid w:val="00FA28D9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F871"/>
  <w15:chartTrackingRefBased/>
  <w15:docId w15:val="{146C9D81-C7C4-4ADF-B052-1EB17C12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6E1"/>
    <w:rPr>
      <w:rFonts w:ascii="Segoe UI" w:hAnsi="Segoe U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5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E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E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E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E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ED4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ED4"/>
    <w:rPr>
      <w:rFonts w:eastAsiaTheme="majorEastAsia" w:cstheme="majorBidi"/>
      <w:color w:val="0F476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ED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ED4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ED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ED4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757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E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ED4"/>
    <w:rPr>
      <w:rFonts w:ascii="Segoe UI" w:hAnsi="Segoe UI"/>
      <w:i/>
      <w:iCs/>
      <w:color w:val="404040" w:themeColor="text1" w:themeTint="BF"/>
      <w:sz w:val="22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757E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E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ED4"/>
    <w:rPr>
      <w:rFonts w:ascii="Segoe UI" w:hAnsi="Segoe UI"/>
      <w:i/>
      <w:iCs/>
      <w:color w:val="0F4761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757E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5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7ED4"/>
  </w:style>
  <w:style w:type="paragraph" w:styleId="Zpat">
    <w:name w:val="footer"/>
    <w:basedOn w:val="Normln"/>
    <w:link w:val="ZpatChar"/>
    <w:uiPriority w:val="99"/>
    <w:unhideWhenUsed/>
    <w:rsid w:val="0075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7ED4"/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BC679F"/>
  </w:style>
  <w:style w:type="paragraph" w:styleId="Revize">
    <w:name w:val="Revision"/>
    <w:hidden/>
    <w:uiPriority w:val="99"/>
    <w:semiHidden/>
    <w:rsid w:val="008E34D2"/>
    <w:pPr>
      <w:spacing w:after="0" w:line="240" w:lineRule="auto"/>
    </w:pPr>
    <w:rPr>
      <w:rFonts w:ascii="Segoe UI" w:hAnsi="Segoe U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A47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47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4748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7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748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6EB037A823B4C8C7F5F0EC8A6245E" ma:contentTypeVersion="9" ma:contentTypeDescription="Create a new document." ma:contentTypeScope="" ma:versionID="4c004e04925e44169af56e8599889836">
  <xsd:schema xmlns:xsd="http://www.w3.org/2001/XMLSchema" xmlns:xs="http://www.w3.org/2001/XMLSchema" xmlns:p="http://schemas.microsoft.com/office/2006/metadata/properties" xmlns:ns3="192b1cd8-390c-4db0-b407-05d9e9b87059" targetNamespace="http://schemas.microsoft.com/office/2006/metadata/properties" ma:root="true" ma:fieldsID="1b5b034458a1d6b4bdfcf892c838ab0d" ns3:_="">
    <xsd:import namespace="192b1cd8-390c-4db0-b407-05d9e9b870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b1cd8-390c-4db0-b407-05d9e9b870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2b1cd8-390c-4db0-b407-05d9e9b870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8C495-9C16-45C4-AFC2-B9A5A586A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b1cd8-390c-4db0-b407-05d9e9b87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E363C-2DFD-4C76-ADC9-FE9227538FE1}">
  <ds:schemaRefs>
    <ds:schemaRef ds:uri="http://schemas.microsoft.com/office/2006/metadata/properties"/>
    <ds:schemaRef ds:uri="http://schemas.microsoft.com/office/infopath/2007/PartnerControls"/>
    <ds:schemaRef ds:uri="192b1cd8-390c-4db0-b407-05d9e9b87059"/>
  </ds:schemaRefs>
</ds:datastoreItem>
</file>

<file path=customXml/itemProps3.xml><?xml version="1.0" encoding="utf-8"?>
<ds:datastoreItem xmlns:ds="http://schemas.openxmlformats.org/officeDocument/2006/customXml" ds:itemID="{71E4E0AA-BC1C-498A-8B2E-38489D464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Nedomová</dc:creator>
  <cp:keywords/>
  <dc:description/>
  <cp:lastModifiedBy>Eliška Nedomová</cp:lastModifiedBy>
  <cp:revision>2</cp:revision>
  <dcterms:created xsi:type="dcterms:W3CDTF">2025-08-27T15:03:00Z</dcterms:created>
  <dcterms:modified xsi:type="dcterms:W3CDTF">2025-08-27T15:03:00Z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0x010100DB36EB037A823B4C8C7F5F0EC8A6245E</vt:lpwstr>
  </property>
</Properties>
</file>