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A06EE" w14:textId="6C0E154D" w:rsidR="00AE455E" w:rsidRPr="00E132AD" w:rsidRDefault="00AE455E" w:rsidP="00E132AD">
      <w:pPr>
        <w:pStyle w:val="ed"/>
        <w:tabs>
          <w:tab w:val="left" w:pos="180"/>
        </w:tabs>
        <w:rPr>
          <w:rFonts w:asciiTheme="minorHAnsi" w:hAnsiTheme="minorHAnsi" w:cstheme="minorHAnsi"/>
          <w:color w:val="auto"/>
        </w:rPr>
      </w:pPr>
      <w:r w:rsidRPr="00E132AD">
        <w:rPr>
          <w:rFonts w:asciiTheme="minorHAnsi" w:hAnsiTheme="minorHAnsi" w:cstheme="minorHAnsi"/>
          <w:color w:val="auto"/>
        </w:rPr>
        <w:t>Příloha č. 1</w:t>
      </w:r>
    </w:p>
    <w:p w14:paraId="7838AA07" w14:textId="4B8A0030" w:rsidR="007B2817" w:rsidRPr="00A26A38" w:rsidRDefault="007B2817" w:rsidP="00A26A38">
      <w:pPr>
        <w:pStyle w:val="Odrka"/>
        <w:numPr>
          <w:ilvl w:val="0"/>
          <w:numId w:val="0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0A26A38">
        <w:rPr>
          <w:rFonts w:asciiTheme="minorHAnsi" w:hAnsiTheme="minorHAnsi"/>
          <w:b/>
          <w:bCs/>
          <w:sz w:val="24"/>
          <w:szCs w:val="24"/>
        </w:rPr>
        <w:t xml:space="preserve">Technická specifikace veřejné zakázky </w:t>
      </w:r>
      <w:r w:rsidR="00586AF8" w:rsidRPr="00A26A38">
        <w:rPr>
          <w:rFonts w:asciiTheme="minorHAnsi" w:hAnsiTheme="minorHAnsi"/>
          <w:b/>
          <w:bCs/>
          <w:sz w:val="24"/>
          <w:szCs w:val="24"/>
        </w:rPr>
        <w:t>„Projektová příprava modernizace slaboproudých rozvodů – Stará radnice“</w:t>
      </w:r>
    </w:p>
    <w:p w14:paraId="597FC8C0" w14:textId="77777777" w:rsidR="00FA70AD" w:rsidRPr="003878E3" w:rsidRDefault="00FA70AD" w:rsidP="00E132AD">
      <w:pPr>
        <w:jc w:val="both"/>
      </w:pPr>
      <w:bookmarkStart w:id="0" w:name="_Hlk526343704"/>
    </w:p>
    <w:bookmarkEnd w:id="0"/>
    <w:p w14:paraId="3A872DEE" w14:textId="77777777" w:rsidR="007C5A14" w:rsidRDefault="007C5A14" w:rsidP="007C5A14">
      <w:pPr>
        <w:pStyle w:val="Odrka"/>
        <w:numPr>
          <w:ilvl w:val="0"/>
          <w:numId w:val="0"/>
        </w:numPr>
        <w:jc w:val="both"/>
        <w:rPr>
          <w:sz w:val="24"/>
          <w:szCs w:val="24"/>
        </w:rPr>
      </w:pPr>
    </w:p>
    <w:p w14:paraId="279B1973" w14:textId="218798F6" w:rsidR="00586AF8" w:rsidRPr="000741C5" w:rsidRDefault="007C5A14" w:rsidP="004D74B1">
      <w:pPr>
        <w:pStyle w:val="Odrka"/>
        <w:numPr>
          <w:ilvl w:val="0"/>
          <w:numId w:val="15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 w:rsidRPr="000741C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586AF8" w:rsidRPr="000741C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32615B" w:rsidRPr="000741C5">
        <w:rPr>
          <w:rFonts w:asciiTheme="minorHAnsi" w:hAnsiTheme="minorHAnsi"/>
          <w:b/>
          <w:bCs/>
          <w:sz w:val="24"/>
          <w:szCs w:val="24"/>
        </w:rPr>
        <w:t xml:space="preserve">Součástí </w:t>
      </w:r>
      <w:r w:rsidR="00A26A38" w:rsidRPr="000741C5">
        <w:rPr>
          <w:rFonts w:asciiTheme="minorHAnsi" w:hAnsiTheme="minorHAnsi"/>
          <w:b/>
          <w:bCs/>
          <w:sz w:val="24"/>
          <w:szCs w:val="24"/>
        </w:rPr>
        <w:t>veřejné zakázky</w:t>
      </w:r>
      <w:r w:rsidR="0032615B" w:rsidRPr="000741C5">
        <w:rPr>
          <w:rFonts w:asciiTheme="minorHAnsi" w:hAnsiTheme="minorHAnsi"/>
          <w:b/>
          <w:bCs/>
          <w:sz w:val="24"/>
          <w:szCs w:val="24"/>
        </w:rPr>
        <w:t xml:space="preserve"> bude </w:t>
      </w:r>
      <w:r w:rsidR="00A26A38" w:rsidRPr="000741C5">
        <w:rPr>
          <w:rFonts w:asciiTheme="minorHAnsi" w:hAnsiTheme="minorHAnsi"/>
          <w:b/>
          <w:bCs/>
          <w:sz w:val="24"/>
          <w:szCs w:val="24"/>
        </w:rPr>
        <w:t>k</w:t>
      </w:r>
      <w:r w:rsidR="00586AF8" w:rsidRPr="000741C5">
        <w:rPr>
          <w:rFonts w:asciiTheme="minorHAnsi" w:hAnsiTheme="minorHAnsi"/>
          <w:b/>
          <w:bCs/>
          <w:sz w:val="24"/>
          <w:szCs w:val="24"/>
        </w:rPr>
        <w:t>ompletní plnění:</w:t>
      </w:r>
    </w:p>
    <w:p w14:paraId="2B811AAE" w14:textId="77777777" w:rsidR="00586AF8" w:rsidRPr="00324090" w:rsidRDefault="00586AF8" w:rsidP="00643946">
      <w:pPr>
        <w:pStyle w:val="Odrka"/>
        <w:ind w:left="1068"/>
        <w:jc w:val="both"/>
        <w:rPr>
          <w:sz w:val="24"/>
          <w:szCs w:val="24"/>
        </w:rPr>
      </w:pPr>
      <w:r w:rsidRPr="00324090">
        <w:rPr>
          <w:sz w:val="24"/>
          <w:szCs w:val="24"/>
        </w:rPr>
        <w:t xml:space="preserve">Inženýrská činnost nutná k zajištění vyjádření, stanovisek a podkladů nutných k podání a zajištění vydání povolení </w:t>
      </w:r>
    </w:p>
    <w:p w14:paraId="0B587F6C" w14:textId="2B5FE580" w:rsidR="00CE4106" w:rsidRPr="00324090" w:rsidRDefault="00586AF8" w:rsidP="00643946">
      <w:pPr>
        <w:pStyle w:val="Odrka"/>
        <w:ind w:left="1068"/>
        <w:jc w:val="both"/>
        <w:rPr>
          <w:sz w:val="24"/>
          <w:szCs w:val="24"/>
        </w:rPr>
      </w:pPr>
      <w:r w:rsidRPr="00324090">
        <w:rPr>
          <w:sz w:val="24"/>
          <w:szCs w:val="24"/>
        </w:rPr>
        <w:t>Změny záměru</w:t>
      </w:r>
    </w:p>
    <w:p w14:paraId="07161856" w14:textId="39FB8E1D" w:rsidR="00586AF8" w:rsidRPr="00324090" w:rsidRDefault="00586AF8" w:rsidP="00643946">
      <w:pPr>
        <w:pStyle w:val="Odrka"/>
        <w:ind w:left="1068"/>
        <w:jc w:val="both"/>
        <w:rPr>
          <w:sz w:val="24"/>
          <w:szCs w:val="24"/>
        </w:rPr>
      </w:pPr>
      <w:r w:rsidRPr="00324090">
        <w:rPr>
          <w:sz w:val="24"/>
          <w:szCs w:val="24"/>
        </w:rPr>
        <w:t>Dokumentace pro povolení záměru/stavby (DPZ) a PDPS</w:t>
      </w:r>
    </w:p>
    <w:p w14:paraId="39B5556D" w14:textId="120D9B70" w:rsidR="00586AF8" w:rsidRPr="00324090" w:rsidRDefault="00586AF8" w:rsidP="00643946">
      <w:pPr>
        <w:pStyle w:val="Odrka"/>
        <w:ind w:left="1068"/>
        <w:jc w:val="both"/>
        <w:rPr>
          <w:sz w:val="24"/>
          <w:szCs w:val="24"/>
        </w:rPr>
      </w:pPr>
      <w:r w:rsidRPr="00324090">
        <w:rPr>
          <w:sz w:val="24"/>
          <w:szCs w:val="24"/>
        </w:rPr>
        <w:t>Soupis prací</w:t>
      </w:r>
    </w:p>
    <w:p w14:paraId="30ED4BD7" w14:textId="206642C9" w:rsidR="00586AF8" w:rsidRPr="00324090" w:rsidRDefault="00586AF8" w:rsidP="00643946">
      <w:pPr>
        <w:pStyle w:val="Odrka"/>
        <w:ind w:left="1068"/>
        <w:jc w:val="both"/>
        <w:rPr>
          <w:sz w:val="24"/>
          <w:szCs w:val="24"/>
        </w:rPr>
      </w:pPr>
      <w:r w:rsidRPr="00324090">
        <w:rPr>
          <w:sz w:val="24"/>
          <w:szCs w:val="24"/>
        </w:rPr>
        <w:t>Autorský dozor</w:t>
      </w:r>
    </w:p>
    <w:p w14:paraId="0713B9CE" w14:textId="282BE427" w:rsidR="00586AF8" w:rsidRPr="00324090" w:rsidRDefault="00586AF8" w:rsidP="00643946">
      <w:pPr>
        <w:pStyle w:val="Odrka"/>
        <w:ind w:left="1068"/>
        <w:jc w:val="both"/>
        <w:rPr>
          <w:sz w:val="24"/>
          <w:szCs w:val="24"/>
        </w:rPr>
      </w:pPr>
      <w:r w:rsidRPr="00324090">
        <w:rPr>
          <w:sz w:val="24"/>
          <w:szCs w:val="24"/>
        </w:rPr>
        <w:t>Plán BOZP</w:t>
      </w:r>
    </w:p>
    <w:p w14:paraId="023204ED" w14:textId="77777777" w:rsidR="007C5A14" w:rsidRDefault="007C5A14" w:rsidP="004D74B1">
      <w:pPr>
        <w:pStyle w:val="Odrka"/>
        <w:numPr>
          <w:ilvl w:val="0"/>
          <w:numId w:val="0"/>
        </w:numPr>
        <w:jc w:val="both"/>
        <w:rPr>
          <w:rFonts w:asciiTheme="minorHAnsi" w:hAnsiTheme="minorHAnsi"/>
          <w:sz w:val="24"/>
          <w:szCs w:val="24"/>
        </w:rPr>
      </w:pPr>
    </w:p>
    <w:p w14:paraId="2787207B" w14:textId="6245D478" w:rsidR="00586AF8" w:rsidRPr="000741C5" w:rsidRDefault="00586AF8" w:rsidP="004D74B1">
      <w:pPr>
        <w:pStyle w:val="Odrka"/>
        <w:numPr>
          <w:ilvl w:val="0"/>
          <w:numId w:val="15"/>
        </w:num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Pr="000741C5">
        <w:rPr>
          <w:rFonts w:asciiTheme="minorHAnsi" w:hAnsiTheme="minorHAnsi"/>
          <w:b/>
          <w:bCs/>
          <w:sz w:val="24"/>
          <w:szCs w:val="24"/>
        </w:rPr>
        <w:t>Doba a místo plnění zakázky:</w:t>
      </w:r>
    </w:p>
    <w:p w14:paraId="31789829" w14:textId="77777777" w:rsidR="007C5A14" w:rsidRPr="007C5A14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7C5A14">
        <w:rPr>
          <w:sz w:val="24"/>
          <w:szCs w:val="24"/>
        </w:rPr>
        <w:t>Termín zahájení plnění: ihned po nabytí účinnosti smlouvy</w:t>
      </w:r>
    </w:p>
    <w:p w14:paraId="7A722426" w14:textId="77777777" w:rsidR="007C5A14" w:rsidRPr="007C5A14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7C5A14">
        <w:rPr>
          <w:sz w:val="24"/>
          <w:szCs w:val="24"/>
        </w:rPr>
        <w:t>Odevzdání konceptu dokumentace pro povolení záměru/stavby (DPZ): do 2 měsíců ode dne nabytí účinnosti smlouvy</w:t>
      </w:r>
    </w:p>
    <w:p w14:paraId="07E1BC0C" w14:textId="77777777" w:rsidR="007C5A14" w:rsidRPr="007C5A14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7C5A14">
        <w:rPr>
          <w:sz w:val="24"/>
          <w:szCs w:val="24"/>
        </w:rPr>
        <w:t>Lhůta k vyjádření objednatele ke konceptu dokumentace pro povolení záměru/stavby (DPZ): do 14 dnů ode dne převzetí konceptu dokumentace pro povolení záměru/stavby (DPZ)</w:t>
      </w:r>
    </w:p>
    <w:p w14:paraId="79F7BDBF" w14:textId="77777777" w:rsidR="007C5A14" w:rsidRPr="007C5A14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7C5A14">
        <w:rPr>
          <w:sz w:val="24"/>
          <w:szCs w:val="24"/>
        </w:rPr>
        <w:t>Odevzdání čistopisu dokumentace pro povolení záměru/stavby (DPZ) a PDPS: do 3 měsíců ode dne obdržení vyjádření objednatele ke konceptu dokumentace pro povolení záměru/stavby (DPZ)</w:t>
      </w:r>
    </w:p>
    <w:p w14:paraId="2CD4E70F" w14:textId="6F83288F" w:rsidR="00616D79" w:rsidRPr="00577B6F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7C5A14">
        <w:rPr>
          <w:sz w:val="24"/>
          <w:szCs w:val="24"/>
        </w:rPr>
        <w:t>Podání žádosti o vydání stavebního povolení: do 14 dnů ode dne odevzdání čistopisu dokumentace pro povolení záměru/stavby (DPZ) a PDPS objednateli.</w:t>
      </w:r>
    </w:p>
    <w:p w14:paraId="26512763" w14:textId="77777777" w:rsidR="007C5A14" w:rsidRPr="00577B6F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577B6F">
        <w:rPr>
          <w:sz w:val="24"/>
          <w:szCs w:val="24"/>
        </w:rPr>
        <w:t xml:space="preserve">Termín zahájení plnění činnosti AD (autorský dozor): na písemnou výzvu Objednatele </w:t>
      </w:r>
    </w:p>
    <w:p w14:paraId="27CE0CFC" w14:textId="5A8166BE" w:rsidR="007C5A14" w:rsidRPr="00577B6F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577B6F">
        <w:rPr>
          <w:sz w:val="24"/>
          <w:szCs w:val="24"/>
        </w:rPr>
        <w:t>Termín ukončení plnění činnosti AD (autorský dozor): v den převzetí stavby Objednatelem</w:t>
      </w:r>
    </w:p>
    <w:p w14:paraId="44E4AEFE" w14:textId="1D09B4C8" w:rsidR="007C5A14" w:rsidRPr="007C5A14" w:rsidRDefault="007C5A14" w:rsidP="00643946">
      <w:pPr>
        <w:pStyle w:val="Odrka"/>
        <w:ind w:left="1068"/>
        <w:jc w:val="both"/>
        <w:rPr>
          <w:bCs/>
          <w:sz w:val="24"/>
          <w:szCs w:val="24"/>
        </w:rPr>
      </w:pPr>
      <w:r w:rsidRPr="007C5A14">
        <w:rPr>
          <w:bCs/>
          <w:sz w:val="24"/>
          <w:szCs w:val="24"/>
        </w:rPr>
        <w:t>Míst</w:t>
      </w:r>
      <w:r w:rsidRPr="00780A0F">
        <w:t xml:space="preserve">o plnění: Brno, </w:t>
      </w:r>
      <w:r w:rsidR="00780A0F" w:rsidRPr="00780A0F">
        <w:t>ulice</w:t>
      </w:r>
      <w:r w:rsidRPr="00780A0F">
        <w:t> </w:t>
      </w:r>
      <w:hyperlink r:id="rId12" w:history="1">
        <w:r w:rsidRPr="00D95042">
          <w:t>Radnická 8, 602 00 Brno-střed</w:t>
        </w:r>
      </w:hyperlink>
    </w:p>
    <w:p w14:paraId="26D4ED79" w14:textId="141A1480" w:rsidR="007C5A14" w:rsidRDefault="007C5A14" w:rsidP="00643946">
      <w:pPr>
        <w:pStyle w:val="Odrka"/>
        <w:numPr>
          <w:ilvl w:val="0"/>
          <w:numId w:val="0"/>
        </w:numPr>
        <w:ind w:left="1068"/>
        <w:jc w:val="both"/>
        <w:rPr>
          <w:bCs/>
          <w:sz w:val="24"/>
          <w:szCs w:val="24"/>
        </w:rPr>
      </w:pPr>
    </w:p>
    <w:p w14:paraId="2AB11801" w14:textId="77777777" w:rsidR="007C5A14" w:rsidRPr="007C5A14" w:rsidRDefault="007C5A14" w:rsidP="00643946">
      <w:pPr>
        <w:pStyle w:val="Odrka"/>
        <w:numPr>
          <w:ilvl w:val="0"/>
          <w:numId w:val="0"/>
        </w:numPr>
        <w:ind w:left="750"/>
        <w:jc w:val="both"/>
        <w:rPr>
          <w:sz w:val="24"/>
          <w:szCs w:val="24"/>
        </w:rPr>
      </w:pPr>
    </w:p>
    <w:p w14:paraId="3EA84E72" w14:textId="64A9C7CB" w:rsidR="007C5A14" w:rsidRPr="007C5A14" w:rsidRDefault="007C5A14" w:rsidP="004D74B1">
      <w:pPr>
        <w:pStyle w:val="Odrka"/>
        <w:numPr>
          <w:ilvl w:val="0"/>
          <w:numId w:val="15"/>
        </w:numPr>
        <w:jc w:val="both"/>
        <w:rPr>
          <w:rFonts w:asciiTheme="minorHAnsi" w:hAnsiTheme="minorHAnsi"/>
          <w:sz w:val="24"/>
          <w:szCs w:val="24"/>
        </w:rPr>
      </w:pPr>
      <w:r w:rsidRPr="007C5A14">
        <w:rPr>
          <w:rFonts w:asciiTheme="minorHAnsi" w:hAnsiTheme="minorHAnsi"/>
          <w:b/>
          <w:bCs/>
          <w:sz w:val="24"/>
          <w:szCs w:val="24"/>
        </w:rPr>
        <w:t>Další podmínky</w:t>
      </w:r>
      <w:r w:rsidR="000741C5">
        <w:rPr>
          <w:rFonts w:asciiTheme="minorHAnsi" w:hAnsiTheme="minorHAnsi"/>
          <w:b/>
          <w:bCs/>
          <w:sz w:val="24"/>
          <w:szCs w:val="24"/>
        </w:rPr>
        <w:t xml:space="preserve"> plnění</w:t>
      </w:r>
    </w:p>
    <w:p w14:paraId="7F705464" w14:textId="5E0031C5" w:rsidR="005A594D" w:rsidRDefault="005A594D">
      <w:pPr>
        <w:pStyle w:val="Odrka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Zadavatelem </w:t>
      </w:r>
      <w:r w:rsidRPr="005A594D">
        <w:rPr>
          <w:sz w:val="24"/>
          <w:szCs w:val="24"/>
        </w:rPr>
        <w:t>předpokláda</w:t>
      </w:r>
      <w:r>
        <w:rPr>
          <w:sz w:val="24"/>
          <w:szCs w:val="24"/>
        </w:rPr>
        <w:t>ný</w:t>
      </w:r>
      <w:r w:rsidRPr="005A594D">
        <w:rPr>
          <w:sz w:val="24"/>
          <w:szCs w:val="24"/>
        </w:rPr>
        <w:t xml:space="preserve"> rozsah autorsk</w:t>
      </w:r>
      <w:r>
        <w:rPr>
          <w:sz w:val="24"/>
          <w:szCs w:val="24"/>
        </w:rPr>
        <w:t>ého</w:t>
      </w:r>
      <w:r w:rsidRPr="005A594D">
        <w:rPr>
          <w:sz w:val="24"/>
          <w:szCs w:val="24"/>
        </w:rPr>
        <w:t xml:space="preserve"> dozor</w:t>
      </w:r>
      <w:r>
        <w:rPr>
          <w:sz w:val="24"/>
          <w:szCs w:val="24"/>
        </w:rPr>
        <w:t>u bude činit</w:t>
      </w:r>
      <w:r w:rsidRPr="005A594D">
        <w:rPr>
          <w:sz w:val="24"/>
          <w:szCs w:val="24"/>
        </w:rPr>
        <w:t xml:space="preserve"> 50 hodin</w:t>
      </w:r>
    </w:p>
    <w:p w14:paraId="6709DB60" w14:textId="0D93F024" w:rsidR="007C5A14" w:rsidRPr="007A4343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7A4343">
        <w:rPr>
          <w:sz w:val="24"/>
          <w:szCs w:val="24"/>
        </w:rPr>
        <w:t xml:space="preserve">zhotovitel odevzdá koncept </w:t>
      </w:r>
      <w:r w:rsidRPr="007C5A14">
        <w:rPr>
          <w:sz w:val="24"/>
          <w:szCs w:val="24"/>
        </w:rPr>
        <w:t xml:space="preserve">dokumentace pro povolení záměru/stavby (DPZ) </w:t>
      </w:r>
      <w:r w:rsidRPr="007A4343">
        <w:rPr>
          <w:sz w:val="24"/>
          <w:szCs w:val="24"/>
        </w:rPr>
        <w:t xml:space="preserve">a PDPS 1x v digitální podobě </w:t>
      </w:r>
    </w:p>
    <w:p w14:paraId="0031CCB1" w14:textId="77777777" w:rsidR="007C5A14" w:rsidRPr="007A4343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7A4343">
        <w:rPr>
          <w:sz w:val="24"/>
          <w:szCs w:val="24"/>
        </w:rPr>
        <w:lastRenderedPageBreak/>
        <w:t xml:space="preserve">zhotovitel odevzdá konečnou </w:t>
      </w:r>
      <w:r w:rsidRPr="007C5A14">
        <w:rPr>
          <w:sz w:val="24"/>
          <w:szCs w:val="24"/>
        </w:rPr>
        <w:t xml:space="preserve">dokumentaci pro povolení záměru/stavby (DPZ) </w:t>
      </w:r>
      <w:r w:rsidRPr="007A4343">
        <w:rPr>
          <w:sz w:val="24"/>
          <w:szCs w:val="24"/>
        </w:rPr>
        <w:t xml:space="preserve">a PDPS 4x v papírové, 2x v digitální </w:t>
      </w:r>
    </w:p>
    <w:p w14:paraId="6A6FFB23" w14:textId="40BCF7DD" w:rsidR="007C5A14" w:rsidRPr="0095238F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7A4343">
        <w:rPr>
          <w:sz w:val="24"/>
          <w:szCs w:val="24"/>
        </w:rPr>
        <w:t>minimální požadavky na záruční lhůtu — 24 měsíců</w:t>
      </w:r>
    </w:p>
    <w:p w14:paraId="65024F2D" w14:textId="77777777" w:rsidR="007C5A14" w:rsidRPr="007A4343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7A4343">
        <w:rPr>
          <w:sz w:val="24"/>
          <w:szCs w:val="24"/>
        </w:rPr>
        <w:t>fakturace: Faktura po odevzdání celého předmětu plnění (za projektovou dokumentaci)</w:t>
      </w:r>
    </w:p>
    <w:p w14:paraId="50E1DFB5" w14:textId="11FE6712" w:rsidR="007C5A14" w:rsidRPr="0095238F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7A4343">
        <w:rPr>
          <w:sz w:val="24"/>
          <w:szCs w:val="24"/>
        </w:rPr>
        <w:t xml:space="preserve">fakturace: Faktura dle výkazu skutečně provedených činností v daném měsíci v rámci AD </w:t>
      </w:r>
    </w:p>
    <w:p w14:paraId="0DFB897A" w14:textId="74E809C8" w:rsidR="007C5A14" w:rsidRPr="0095238F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7A4343">
        <w:rPr>
          <w:sz w:val="24"/>
          <w:szCs w:val="24"/>
        </w:rPr>
        <w:t>Výchozí podklady: Projektová příprava a prověření proveditelnosti modernizace slaboproudých rozvodů – Stará radnice 05/2025 vypracována společností JUNG architekti s.r.o., se sídlem Nové sady 988/2, 602 00 Brno, IČO: 19849346.</w:t>
      </w:r>
    </w:p>
    <w:p w14:paraId="758E558D" w14:textId="139DB4EC" w:rsidR="007C5A14" w:rsidRPr="0095238F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7A4343">
        <w:rPr>
          <w:sz w:val="24"/>
          <w:szCs w:val="24"/>
        </w:rPr>
        <w:t>Zhotovitel</w:t>
      </w:r>
      <w:r w:rsidR="004D74B1">
        <w:rPr>
          <w:sz w:val="24"/>
          <w:szCs w:val="24"/>
        </w:rPr>
        <w:t xml:space="preserve"> musí být ve smlouvě zavázán</w:t>
      </w:r>
      <w:r w:rsidRPr="007A4343">
        <w:rPr>
          <w:sz w:val="24"/>
          <w:szCs w:val="24"/>
        </w:rPr>
        <w:t xml:space="preserve"> zohlednit závěry obsažené v průvodní zprávě Projektové přípravy a prověření proveditelnosti a projednat projektovou dokumentaci s NPÚ</w:t>
      </w:r>
    </w:p>
    <w:p w14:paraId="54E7D5F6" w14:textId="3DB376B4" w:rsidR="007C5A14" w:rsidRPr="0095238F" w:rsidRDefault="007C5A14" w:rsidP="00643946">
      <w:pPr>
        <w:pStyle w:val="Odrka"/>
        <w:ind w:left="1068"/>
        <w:jc w:val="both"/>
        <w:rPr>
          <w:sz w:val="24"/>
          <w:szCs w:val="24"/>
        </w:rPr>
      </w:pPr>
      <w:r w:rsidRPr="007A4343">
        <w:rPr>
          <w:sz w:val="24"/>
          <w:szCs w:val="24"/>
        </w:rPr>
        <w:t>Zhotovitel</w:t>
      </w:r>
      <w:r w:rsidR="004D74B1">
        <w:rPr>
          <w:sz w:val="24"/>
          <w:szCs w:val="24"/>
        </w:rPr>
        <w:t xml:space="preserve"> musí být ve smlouvě zavázán</w:t>
      </w:r>
      <w:r w:rsidRPr="007A4343">
        <w:rPr>
          <w:sz w:val="24"/>
          <w:szCs w:val="24"/>
        </w:rPr>
        <w:t xml:space="preserve">, že zpracuje </w:t>
      </w:r>
      <w:r w:rsidRPr="007C5A14">
        <w:rPr>
          <w:sz w:val="24"/>
          <w:szCs w:val="24"/>
        </w:rPr>
        <w:t xml:space="preserve">dokumentaci pro povolení záměru/stavby (DPZ) </w:t>
      </w:r>
      <w:r w:rsidRPr="007A4343">
        <w:rPr>
          <w:sz w:val="24"/>
          <w:szCs w:val="24"/>
        </w:rPr>
        <w:t>a k tomu následně zajistí obstarání vydání platného stavebního povolení (povolení záměru)</w:t>
      </w:r>
    </w:p>
    <w:p w14:paraId="1EB74B56" w14:textId="28DDBCC5" w:rsidR="007C5A14" w:rsidRDefault="007C5A14">
      <w:pPr>
        <w:pStyle w:val="Odrka"/>
        <w:ind w:left="1068"/>
        <w:jc w:val="both"/>
        <w:rPr>
          <w:sz w:val="24"/>
          <w:szCs w:val="24"/>
        </w:rPr>
      </w:pPr>
      <w:r w:rsidRPr="007A4343">
        <w:rPr>
          <w:sz w:val="24"/>
          <w:szCs w:val="24"/>
        </w:rPr>
        <w:t>Stanovit v zadávací dokumentaci a smlouvě ustanovení, že se jedná o nemovitou kulturní památkou pod katalogovým číslem 1000129439 resp. 1000129439_0002 Stará radnice – zadní trakt</w:t>
      </w:r>
      <w:r w:rsidR="004D74B1">
        <w:rPr>
          <w:sz w:val="24"/>
          <w:szCs w:val="24"/>
        </w:rPr>
        <w:t xml:space="preserve"> a že Zhotovitel je povinen toto respektovat.</w:t>
      </w:r>
    </w:p>
    <w:p w14:paraId="4B733A4C" w14:textId="7012DF20" w:rsidR="008B378C" w:rsidRPr="0095238F" w:rsidRDefault="008B378C" w:rsidP="00643946">
      <w:pPr>
        <w:pStyle w:val="Odrka"/>
        <w:ind w:left="1068"/>
        <w:jc w:val="both"/>
        <w:rPr>
          <w:sz w:val="24"/>
          <w:szCs w:val="24"/>
        </w:rPr>
      </w:pPr>
      <w:r w:rsidRPr="008B378C">
        <w:rPr>
          <w:sz w:val="24"/>
          <w:szCs w:val="24"/>
        </w:rPr>
        <w:t xml:space="preserve">Zadavatel bude organizovat prohlídku místa plnění </w:t>
      </w:r>
      <w:r w:rsidR="000F1A6F">
        <w:rPr>
          <w:sz w:val="24"/>
          <w:szCs w:val="24"/>
        </w:rPr>
        <w:t xml:space="preserve">veřejné zakázky </w:t>
      </w:r>
      <w:r w:rsidR="000F1A6F">
        <w:rPr>
          <w:sz w:val="24"/>
          <w:szCs w:val="24"/>
        </w:rPr>
        <w:t>podle potřeby</w:t>
      </w:r>
      <w:r w:rsidR="000F1A6F" w:rsidRPr="007A4343">
        <w:rPr>
          <w:sz w:val="24"/>
          <w:szCs w:val="24"/>
        </w:rPr>
        <w:t xml:space="preserve"> na místě samém</w:t>
      </w:r>
      <w:r w:rsidR="000F1A6F">
        <w:rPr>
          <w:sz w:val="24"/>
          <w:szCs w:val="24"/>
        </w:rPr>
        <w:t xml:space="preserve"> </w:t>
      </w:r>
      <w:r w:rsidR="000F1A6F">
        <w:rPr>
          <w:sz w:val="24"/>
          <w:szCs w:val="24"/>
        </w:rPr>
        <w:t xml:space="preserve">a </w:t>
      </w:r>
      <w:r w:rsidR="000F1A6F" w:rsidRPr="007A4343">
        <w:rPr>
          <w:sz w:val="24"/>
          <w:szCs w:val="24"/>
        </w:rPr>
        <w:t>po předchozí domluvě</w:t>
      </w:r>
      <w:r w:rsidRPr="008B378C">
        <w:rPr>
          <w:sz w:val="24"/>
          <w:szCs w:val="24"/>
        </w:rPr>
        <w:t xml:space="preserve">. Sraz účastníků prohlídky </w:t>
      </w:r>
      <w:r w:rsidR="000F1A6F">
        <w:rPr>
          <w:sz w:val="24"/>
          <w:szCs w:val="24"/>
        </w:rPr>
        <w:t>bude</w:t>
      </w:r>
      <w:r w:rsidRPr="008B378C">
        <w:rPr>
          <w:sz w:val="24"/>
          <w:szCs w:val="24"/>
        </w:rPr>
        <w:t xml:space="preserve"> </w:t>
      </w:r>
      <w:r w:rsidR="00FA6D35">
        <w:rPr>
          <w:sz w:val="24"/>
          <w:szCs w:val="24"/>
        </w:rPr>
        <w:t>v průchodu</w:t>
      </w:r>
      <w:r>
        <w:rPr>
          <w:sz w:val="24"/>
          <w:szCs w:val="24"/>
        </w:rPr>
        <w:t xml:space="preserve"> před Turistickým informačním centrem</w:t>
      </w:r>
      <w:r w:rsidRPr="008B378C">
        <w:rPr>
          <w:sz w:val="24"/>
          <w:szCs w:val="24"/>
        </w:rPr>
        <w:t xml:space="preserve"> Magistrátu města Brna (</w:t>
      </w:r>
      <w:r>
        <w:rPr>
          <w:sz w:val="24"/>
          <w:szCs w:val="24"/>
        </w:rPr>
        <w:t xml:space="preserve">Stará </w:t>
      </w:r>
      <w:r w:rsidRPr="008B378C">
        <w:rPr>
          <w:sz w:val="24"/>
          <w:szCs w:val="24"/>
        </w:rPr>
        <w:t>radnice) na adrese</w:t>
      </w:r>
      <w:r w:rsidR="00FA6D35">
        <w:rPr>
          <w:sz w:val="24"/>
          <w:szCs w:val="24"/>
        </w:rPr>
        <w:t xml:space="preserve"> Radnická </w:t>
      </w:r>
      <w:r w:rsidR="0086160A">
        <w:rPr>
          <w:sz w:val="24"/>
          <w:szCs w:val="24"/>
        </w:rPr>
        <w:t>8</w:t>
      </w:r>
      <w:r w:rsidRPr="008B378C">
        <w:rPr>
          <w:sz w:val="24"/>
          <w:szCs w:val="24"/>
        </w:rPr>
        <w:t>, 60</w:t>
      </w:r>
      <w:r w:rsidR="00FA6D35">
        <w:rPr>
          <w:sz w:val="24"/>
          <w:szCs w:val="24"/>
        </w:rPr>
        <w:t>2</w:t>
      </w:r>
      <w:r w:rsidRPr="008B378C">
        <w:rPr>
          <w:sz w:val="24"/>
          <w:szCs w:val="24"/>
        </w:rPr>
        <w:t xml:space="preserve"> </w:t>
      </w:r>
      <w:r w:rsidR="00FA6D35">
        <w:rPr>
          <w:sz w:val="24"/>
          <w:szCs w:val="24"/>
        </w:rPr>
        <w:t>00</w:t>
      </w:r>
      <w:r w:rsidRPr="008B378C">
        <w:rPr>
          <w:sz w:val="24"/>
          <w:szCs w:val="24"/>
        </w:rPr>
        <w:t xml:space="preserve"> Brno. Následovat bude prohlídka prostor souvisejících s realizací předmětu plnění veřejné zakázky. Prohlídka místa plnění neslouží k poskytnutí odpovědí na všechny dotazy dodavatelů; tyto budou poskytnuty na základě dotazů formulovaných </w:t>
      </w:r>
      <w:r w:rsidR="0086160A" w:rsidRPr="0086160A">
        <w:rPr>
          <w:sz w:val="24"/>
          <w:szCs w:val="24"/>
        </w:rPr>
        <w:t>elektronicky prostřednictvím elektronického nástroje E-ZAK</w:t>
      </w:r>
      <w:r w:rsidRPr="008B378C">
        <w:rPr>
          <w:sz w:val="24"/>
          <w:szCs w:val="24"/>
        </w:rPr>
        <w:t>. Pro účast na prohlídce jsou zástupci dodavatelů povinni se prokázat oprávněním jednat jménem dodavatele či jej zastupovat (pověření, plná moc atp.) a zapsat se do seznamu účastníků prohlídky místa plnění. Bez předložení listiny, z níž vyplývá oprávnění zástupce dodavatele jednat jménem dodavatele či jej zastupovat, nebude zástupci dodavatele prohlídka umožněna.</w:t>
      </w:r>
    </w:p>
    <w:p w14:paraId="78D1E73F" w14:textId="66EA32C7" w:rsidR="007C5A14" w:rsidRDefault="00DB4547" w:rsidP="004D74B1">
      <w:pPr>
        <w:pStyle w:val="Odrka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Zadavatel u</w:t>
      </w:r>
      <w:r w:rsidR="007C5A14" w:rsidRPr="007A4343">
        <w:rPr>
          <w:sz w:val="24"/>
          <w:szCs w:val="24"/>
        </w:rPr>
        <w:t>možn</w:t>
      </w:r>
      <w:r>
        <w:rPr>
          <w:sz w:val="24"/>
          <w:szCs w:val="24"/>
        </w:rPr>
        <w:t>í</w:t>
      </w:r>
      <w:r w:rsidR="007C5A14" w:rsidRPr="007A4343">
        <w:rPr>
          <w:sz w:val="24"/>
          <w:szCs w:val="24"/>
        </w:rPr>
        <w:t xml:space="preserve"> </w:t>
      </w:r>
      <w:r w:rsidR="000F1A6F">
        <w:rPr>
          <w:sz w:val="24"/>
          <w:szCs w:val="24"/>
        </w:rPr>
        <w:t xml:space="preserve">vybranému </w:t>
      </w:r>
      <w:r w:rsidR="007C5A14" w:rsidRPr="007A4343">
        <w:rPr>
          <w:sz w:val="24"/>
          <w:szCs w:val="24"/>
        </w:rPr>
        <w:t xml:space="preserve">Zhotoviteli </w:t>
      </w:r>
      <w:r>
        <w:rPr>
          <w:sz w:val="24"/>
          <w:szCs w:val="24"/>
        </w:rPr>
        <w:t xml:space="preserve">podle potřeby </w:t>
      </w:r>
      <w:r w:rsidR="007C5A14" w:rsidRPr="007A4343">
        <w:rPr>
          <w:sz w:val="24"/>
          <w:szCs w:val="24"/>
        </w:rPr>
        <w:t>obhlídku na místě samém po předchozí domluvě</w:t>
      </w:r>
      <w:r>
        <w:rPr>
          <w:sz w:val="24"/>
          <w:szCs w:val="24"/>
        </w:rPr>
        <w:t>.</w:t>
      </w:r>
    </w:p>
    <w:p w14:paraId="51F97799" w14:textId="4E3A0D5C" w:rsidR="00BC6A97" w:rsidRDefault="00BC6A97" w:rsidP="004D74B1">
      <w:pPr>
        <w:pStyle w:val="Odrka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Účastník ve smlouvě uvede:</w:t>
      </w:r>
      <w:r w:rsidRPr="00BC6A97">
        <w:rPr>
          <w:sz w:val="24"/>
          <w:szCs w:val="24"/>
        </w:rPr>
        <w:t xml:space="preserve"> Statutární město Brno je při nakládání s veřejnými prostředky povinno dodržovat ustanovení zákona č. 106/1999 Sb., o svobodném přístupu k informacím ve znění pozdějších předpisů (zejména § 9 odstavce 2 tohoto zákona)</w:t>
      </w:r>
    </w:p>
    <w:p w14:paraId="6021512B" w14:textId="6184403F" w:rsidR="00BC6A97" w:rsidRDefault="00BC6A97">
      <w:pPr>
        <w:pStyle w:val="Odrka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Účastník ve smlouvě uvede: </w:t>
      </w:r>
      <w:r w:rsidRPr="00BC6A97">
        <w:rPr>
          <w:sz w:val="24"/>
          <w:szCs w:val="24"/>
        </w:rPr>
        <w:t>Tato smlouva podléhá uveřejnění dle zákona č.</w:t>
      </w:r>
      <w:r w:rsidR="000F1A6F">
        <w:rPr>
          <w:sz w:val="24"/>
          <w:szCs w:val="24"/>
        </w:rPr>
        <w:t> </w:t>
      </w:r>
      <w:r w:rsidRPr="00BC6A97">
        <w:rPr>
          <w:sz w:val="24"/>
          <w:szCs w:val="24"/>
        </w:rPr>
        <w:t>340/2015 Sb., o zvláštních podmínkách účinnosti některých smluv, uveřejňování těchto smluv a o registru smluv (zákon o registru smluv)</w:t>
      </w:r>
    </w:p>
    <w:p w14:paraId="7D9EEE73" w14:textId="2CAC234A" w:rsidR="00C26B0C" w:rsidRPr="00643946" w:rsidRDefault="00C26B0C" w:rsidP="00643946">
      <w:pPr>
        <w:pStyle w:val="Odrka"/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Účastník ve smlouvě </w:t>
      </w:r>
      <w:r w:rsidR="00DA11DC">
        <w:rPr>
          <w:sz w:val="24"/>
          <w:szCs w:val="24"/>
        </w:rPr>
        <w:t xml:space="preserve">pro AD </w:t>
      </w:r>
      <w:r>
        <w:rPr>
          <w:sz w:val="24"/>
          <w:szCs w:val="24"/>
        </w:rPr>
        <w:t xml:space="preserve">uvede: </w:t>
      </w:r>
      <w:r w:rsidRPr="00643946">
        <w:rPr>
          <w:sz w:val="24"/>
          <w:szCs w:val="24"/>
        </w:rPr>
        <w:t xml:space="preserve">Rozsah výkonu služeb bude odpovídat skutečné potřebě objednatele při realizaci stavby. Smluvní strany sjednávají celkovou odměnu ve výši </w:t>
      </w:r>
      <w:r w:rsidRPr="00643946">
        <w:rPr>
          <w:sz w:val="24"/>
          <w:szCs w:val="24"/>
          <w:highlight w:val="yellow"/>
        </w:rPr>
        <w:t>…………</w:t>
      </w:r>
      <w:r w:rsidRPr="00643946">
        <w:rPr>
          <w:sz w:val="24"/>
          <w:szCs w:val="24"/>
        </w:rPr>
        <w:t xml:space="preserve"> bez DPH, z toho odměnu ve výši </w:t>
      </w:r>
      <w:r w:rsidRPr="00643946">
        <w:rPr>
          <w:sz w:val="24"/>
          <w:szCs w:val="24"/>
          <w:highlight w:val="yellow"/>
        </w:rPr>
        <w:t>……….</w:t>
      </w:r>
      <w:r w:rsidRPr="00643946">
        <w:rPr>
          <w:sz w:val="24"/>
          <w:szCs w:val="24"/>
        </w:rPr>
        <w:t xml:space="preserve"> Kč bez DPH za 1 hodinu poskytování služeb. Tato cena zahrnuje veškeré náklady zhotovitele spojené s poskytováním služeb včetně cenových vlivů v době plnění. Skutečné výkony budou evidovány v přehledové tabulce a před fakturací podpisem odsouhlaseny objednatelem. Předpokládaný rozsah autorského dozoru činí </w:t>
      </w:r>
      <w:r>
        <w:rPr>
          <w:sz w:val="24"/>
          <w:szCs w:val="24"/>
        </w:rPr>
        <w:t>50</w:t>
      </w:r>
      <w:r w:rsidRPr="00643946">
        <w:rPr>
          <w:sz w:val="24"/>
          <w:szCs w:val="24"/>
        </w:rPr>
        <w:t xml:space="preserve"> hodin. Bez ohledu na rozsah autorského dozoru je však maximální cena autorského dozoru ujednána ve výši odpovídající celkové odměně (</w:t>
      </w:r>
      <w:r>
        <w:rPr>
          <w:sz w:val="24"/>
          <w:szCs w:val="24"/>
        </w:rPr>
        <w:t>50</w:t>
      </w:r>
      <w:r w:rsidRPr="00643946">
        <w:rPr>
          <w:sz w:val="24"/>
          <w:szCs w:val="24"/>
        </w:rPr>
        <w:t xml:space="preserve">násobek hodinové sazby), zhotovitel je povinen služby autorského dozoru poskytovat v rámci smlouvy i v případě, že maximální cena bude vyčerpána, a to v rámci ujednané maximální ceny. V případě, že požadovaný rozsah autorského dozoru bude nižší než předpokládaný rozsah, bude v konečné faktuře dofakturována také částka, která z celkové odměny zbývá. K dofakturaci může dojít pouze v případě, že zhotovitel řádně plní služby dle této smlouvy. </w:t>
      </w:r>
    </w:p>
    <w:p w14:paraId="61F49F78" w14:textId="77777777" w:rsidR="00C26B0C" w:rsidRPr="007A4343" w:rsidRDefault="00C26B0C" w:rsidP="00211313">
      <w:pPr>
        <w:pStyle w:val="Odrka"/>
        <w:numPr>
          <w:ilvl w:val="0"/>
          <w:numId w:val="0"/>
        </w:numPr>
        <w:ind w:left="1068"/>
        <w:jc w:val="both"/>
        <w:rPr>
          <w:sz w:val="24"/>
          <w:szCs w:val="24"/>
        </w:rPr>
      </w:pPr>
    </w:p>
    <w:p w14:paraId="4389D9B9" w14:textId="32C5D45E" w:rsidR="007C5A14" w:rsidRDefault="007C5A14" w:rsidP="007C5A14">
      <w:pPr>
        <w:pStyle w:val="Odrka"/>
        <w:numPr>
          <w:ilvl w:val="0"/>
          <w:numId w:val="0"/>
        </w:numPr>
        <w:ind w:left="720"/>
        <w:jc w:val="both"/>
        <w:rPr>
          <w:rFonts w:asciiTheme="minorHAnsi" w:hAnsiTheme="minorHAnsi"/>
          <w:sz w:val="24"/>
          <w:szCs w:val="24"/>
        </w:rPr>
      </w:pPr>
    </w:p>
    <w:p w14:paraId="005EB6CE" w14:textId="77777777" w:rsidR="007C5A14" w:rsidRDefault="007C5A14" w:rsidP="007C5A14">
      <w:pPr>
        <w:pStyle w:val="Odrka"/>
        <w:numPr>
          <w:ilvl w:val="0"/>
          <w:numId w:val="0"/>
        </w:numPr>
        <w:ind w:left="720"/>
        <w:jc w:val="both"/>
        <w:rPr>
          <w:rFonts w:asciiTheme="minorHAnsi" w:hAnsiTheme="minorHAnsi"/>
          <w:sz w:val="24"/>
          <w:szCs w:val="24"/>
        </w:rPr>
      </w:pPr>
    </w:p>
    <w:p w14:paraId="71316BCC" w14:textId="77777777" w:rsidR="007C5A14" w:rsidRDefault="007C5A14" w:rsidP="007C5A14">
      <w:pPr>
        <w:pStyle w:val="Odrka"/>
        <w:numPr>
          <w:ilvl w:val="0"/>
          <w:numId w:val="0"/>
        </w:numPr>
        <w:ind w:left="720"/>
        <w:jc w:val="both"/>
        <w:rPr>
          <w:rFonts w:asciiTheme="minorHAnsi" w:hAnsiTheme="minorHAnsi"/>
          <w:sz w:val="24"/>
          <w:szCs w:val="24"/>
        </w:rPr>
      </w:pPr>
    </w:p>
    <w:sectPr w:rsidR="007C5A14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1C5BB" w14:textId="77777777" w:rsidR="00983303" w:rsidRDefault="00983303" w:rsidP="00CE5BFA">
      <w:pPr>
        <w:spacing w:after="0" w:line="240" w:lineRule="auto"/>
      </w:pPr>
      <w:r>
        <w:separator/>
      </w:r>
    </w:p>
  </w:endnote>
  <w:endnote w:type="continuationSeparator" w:id="0">
    <w:p w14:paraId="663D3F5B" w14:textId="77777777" w:rsidR="00983303" w:rsidRDefault="00983303" w:rsidP="00CE5BFA">
      <w:pPr>
        <w:spacing w:after="0" w:line="240" w:lineRule="auto"/>
      </w:pPr>
      <w:r>
        <w:continuationSeparator/>
      </w:r>
    </w:p>
  </w:endnote>
  <w:endnote w:type="continuationNotice" w:id="1">
    <w:p w14:paraId="668F8A02" w14:textId="77777777" w:rsidR="00983303" w:rsidRDefault="009833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7230058"/>
      <w:docPartObj>
        <w:docPartGallery w:val="Page Numbers (Bottom of Page)"/>
        <w:docPartUnique/>
      </w:docPartObj>
    </w:sdtPr>
    <w:sdtContent>
      <w:p w14:paraId="5976474D" w14:textId="4137800D" w:rsidR="00CE5BFA" w:rsidRDefault="00CE5BF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46B8">
          <w:rPr>
            <w:noProof/>
          </w:rPr>
          <w:t>1</w:t>
        </w:r>
        <w:r>
          <w:fldChar w:fldCharType="end"/>
        </w:r>
      </w:p>
    </w:sdtContent>
  </w:sdt>
  <w:p w14:paraId="3D09A7B4" w14:textId="77777777" w:rsidR="00CE5BFA" w:rsidRDefault="00CE5B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9AE1B" w14:textId="77777777" w:rsidR="00983303" w:rsidRDefault="00983303" w:rsidP="00CE5BFA">
      <w:pPr>
        <w:spacing w:after="0" w:line="240" w:lineRule="auto"/>
      </w:pPr>
      <w:r>
        <w:separator/>
      </w:r>
    </w:p>
  </w:footnote>
  <w:footnote w:type="continuationSeparator" w:id="0">
    <w:p w14:paraId="7FDB7DDF" w14:textId="77777777" w:rsidR="00983303" w:rsidRDefault="00983303" w:rsidP="00CE5BFA">
      <w:pPr>
        <w:spacing w:after="0" w:line="240" w:lineRule="auto"/>
      </w:pPr>
      <w:r>
        <w:continuationSeparator/>
      </w:r>
    </w:p>
  </w:footnote>
  <w:footnote w:type="continuationNotice" w:id="1">
    <w:p w14:paraId="0D13BA87" w14:textId="77777777" w:rsidR="00983303" w:rsidRDefault="0098330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3BB87B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374512"/>
    <w:multiLevelType w:val="hybridMultilevel"/>
    <w:tmpl w:val="1BE695DC"/>
    <w:lvl w:ilvl="0" w:tplc="ADB2F8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768AB"/>
    <w:multiLevelType w:val="hybridMultilevel"/>
    <w:tmpl w:val="A27606F0"/>
    <w:lvl w:ilvl="0" w:tplc="7700B3E2">
      <w:start w:val="1"/>
      <w:numFmt w:val="bullet"/>
      <w:pStyle w:val="Odrka"/>
      <w:lvlText w:val=""/>
      <w:lvlJc w:val="left"/>
      <w:pPr>
        <w:ind w:left="750" w:hanging="360"/>
      </w:pPr>
      <w:rPr>
        <w:rFonts w:ascii="Symbol" w:hAnsi="Symbol" w:hint="default"/>
        <w:color w:val="595959" w:themeColor="text1" w:themeTint="A6"/>
      </w:rPr>
    </w:lvl>
    <w:lvl w:ilvl="1" w:tplc="0405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72940D5"/>
    <w:multiLevelType w:val="hybridMultilevel"/>
    <w:tmpl w:val="B7B2BB66"/>
    <w:lvl w:ilvl="0" w:tplc="129E7944">
      <w:start w:val="4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174C63C7"/>
    <w:multiLevelType w:val="hybridMultilevel"/>
    <w:tmpl w:val="3416B258"/>
    <w:lvl w:ilvl="0" w:tplc="129E7944">
      <w:start w:val="4"/>
      <w:numFmt w:val="bullet"/>
      <w:lvlText w:val="-"/>
      <w:lvlJc w:val="left"/>
      <w:pPr>
        <w:ind w:left="100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7047940"/>
    <w:multiLevelType w:val="hybridMultilevel"/>
    <w:tmpl w:val="2B56D132"/>
    <w:lvl w:ilvl="0" w:tplc="FFFFFFFF">
      <w:start w:val="1"/>
      <w:numFmt w:val="bullet"/>
      <w:lvlText w:val="•"/>
      <w:lvlJc w:val="left"/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BD53514"/>
    <w:multiLevelType w:val="hybridMultilevel"/>
    <w:tmpl w:val="F63CFEA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9C375A6"/>
    <w:multiLevelType w:val="hybridMultilevel"/>
    <w:tmpl w:val="16EE2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B0E5E"/>
    <w:multiLevelType w:val="hybridMultilevel"/>
    <w:tmpl w:val="EA78BCCC"/>
    <w:lvl w:ilvl="0" w:tplc="3BEE839E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21906"/>
    <w:multiLevelType w:val="hybridMultilevel"/>
    <w:tmpl w:val="E3D4F282"/>
    <w:lvl w:ilvl="0" w:tplc="8398C2C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E00302"/>
    <w:multiLevelType w:val="hybridMultilevel"/>
    <w:tmpl w:val="2FE600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778616">
    <w:abstractNumId w:val="2"/>
  </w:num>
  <w:num w:numId="2" w16cid:durableId="1627813103">
    <w:abstractNumId w:val="2"/>
  </w:num>
  <w:num w:numId="3" w16cid:durableId="396827859">
    <w:abstractNumId w:val="2"/>
  </w:num>
  <w:num w:numId="4" w16cid:durableId="2121533328">
    <w:abstractNumId w:val="2"/>
  </w:num>
  <w:num w:numId="5" w16cid:durableId="301275774">
    <w:abstractNumId w:val="2"/>
  </w:num>
  <w:num w:numId="6" w16cid:durableId="1093933211">
    <w:abstractNumId w:val="2"/>
  </w:num>
  <w:num w:numId="7" w16cid:durableId="1875269371">
    <w:abstractNumId w:val="10"/>
  </w:num>
  <w:num w:numId="8" w16cid:durableId="1630357355">
    <w:abstractNumId w:val="8"/>
  </w:num>
  <w:num w:numId="9" w16cid:durableId="1475295694">
    <w:abstractNumId w:val="2"/>
  </w:num>
  <w:num w:numId="10" w16cid:durableId="318003844">
    <w:abstractNumId w:val="2"/>
  </w:num>
  <w:num w:numId="11" w16cid:durableId="97255968">
    <w:abstractNumId w:val="5"/>
  </w:num>
  <w:num w:numId="12" w16cid:durableId="1809127014">
    <w:abstractNumId w:val="6"/>
  </w:num>
  <w:num w:numId="13" w16cid:durableId="2053117216">
    <w:abstractNumId w:val="1"/>
  </w:num>
  <w:num w:numId="14" w16cid:durableId="2025591074">
    <w:abstractNumId w:val="9"/>
  </w:num>
  <w:num w:numId="15" w16cid:durableId="856962705">
    <w:abstractNumId w:val="7"/>
  </w:num>
  <w:num w:numId="16" w16cid:durableId="2146392072">
    <w:abstractNumId w:val="4"/>
  </w:num>
  <w:num w:numId="17" w16cid:durableId="625163489">
    <w:abstractNumId w:val="3"/>
  </w:num>
  <w:num w:numId="18" w16cid:durableId="230775211">
    <w:abstractNumId w:val="2"/>
  </w:num>
  <w:num w:numId="19" w16cid:durableId="1071080233">
    <w:abstractNumId w:val="2"/>
  </w:num>
  <w:num w:numId="20" w16cid:durableId="854613712">
    <w:abstractNumId w:val="2"/>
  </w:num>
  <w:num w:numId="21" w16cid:durableId="592860553">
    <w:abstractNumId w:val="2"/>
  </w:num>
  <w:num w:numId="22" w16cid:durableId="146870615">
    <w:abstractNumId w:val="0"/>
  </w:num>
  <w:num w:numId="23" w16cid:durableId="1658533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FE9"/>
    <w:rsid w:val="00015D41"/>
    <w:rsid w:val="00041E1E"/>
    <w:rsid w:val="00042AC7"/>
    <w:rsid w:val="000741C5"/>
    <w:rsid w:val="000B50B7"/>
    <w:rsid w:val="000C235B"/>
    <w:rsid w:val="000D48AF"/>
    <w:rsid w:val="000E2BD6"/>
    <w:rsid w:val="000F1A6F"/>
    <w:rsid w:val="000F1D28"/>
    <w:rsid w:val="00100678"/>
    <w:rsid w:val="0010707C"/>
    <w:rsid w:val="001146B8"/>
    <w:rsid w:val="00166EA4"/>
    <w:rsid w:val="00167700"/>
    <w:rsid w:val="0017156F"/>
    <w:rsid w:val="00172A2D"/>
    <w:rsid w:val="00176EA5"/>
    <w:rsid w:val="00184545"/>
    <w:rsid w:val="001846D7"/>
    <w:rsid w:val="001B14AA"/>
    <w:rsid w:val="001B2287"/>
    <w:rsid w:val="001C13C3"/>
    <w:rsid w:val="001C2543"/>
    <w:rsid w:val="001C52F4"/>
    <w:rsid w:val="00207566"/>
    <w:rsid w:val="00211313"/>
    <w:rsid w:val="00220651"/>
    <w:rsid w:val="00232358"/>
    <w:rsid w:val="002416EE"/>
    <w:rsid w:val="00246F63"/>
    <w:rsid w:val="002A1D60"/>
    <w:rsid w:val="002C7BF9"/>
    <w:rsid w:val="00305ECB"/>
    <w:rsid w:val="00324090"/>
    <w:rsid w:val="0032615B"/>
    <w:rsid w:val="00362134"/>
    <w:rsid w:val="00363792"/>
    <w:rsid w:val="003667EC"/>
    <w:rsid w:val="00370D0E"/>
    <w:rsid w:val="00375142"/>
    <w:rsid w:val="003878E3"/>
    <w:rsid w:val="0039257F"/>
    <w:rsid w:val="00397F02"/>
    <w:rsid w:val="003C76D1"/>
    <w:rsid w:val="003D6828"/>
    <w:rsid w:val="003D6DCD"/>
    <w:rsid w:val="00400D8E"/>
    <w:rsid w:val="00461522"/>
    <w:rsid w:val="004815CF"/>
    <w:rsid w:val="00482A75"/>
    <w:rsid w:val="004B307C"/>
    <w:rsid w:val="004D003A"/>
    <w:rsid w:val="004D359E"/>
    <w:rsid w:val="004D74B1"/>
    <w:rsid w:val="005074DE"/>
    <w:rsid w:val="00507FC8"/>
    <w:rsid w:val="00512DF0"/>
    <w:rsid w:val="005335F8"/>
    <w:rsid w:val="00567155"/>
    <w:rsid w:val="00577B6F"/>
    <w:rsid w:val="00586AF8"/>
    <w:rsid w:val="005904E2"/>
    <w:rsid w:val="005A594D"/>
    <w:rsid w:val="005C22C2"/>
    <w:rsid w:val="006039C3"/>
    <w:rsid w:val="0061690F"/>
    <w:rsid w:val="00616D79"/>
    <w:rsid w:val="00622FD3"/>
    <w:rsid w:val="00632D76"/>
    <w:rsid w:val="00643946"/>
    <w:rsid w:val="006634E0"/>
    <w:rsid w:val="006B56B2"/>
    <w:rsid w:val="006D068B"/>
    <w:rsid w:val="006E2FD5"/>
    <w:rsid w:val="006F5E9A"/>
    <w:rsid w:val="0071681E"/>
    <w:rsid w:val="0072035F"/>
    <w:rsid w:val="007257C9"/>
    <w:rsid w:val="00736EA5"/>
    <w:rsid w:val="00744473"/>
    <w:rsid w:val="00747FEF"/>
    <w:rsid w:val="00780A0F"/>
    <w:rsid w:val="0079061F"/>
    <w:rsid w:val="007A4343"/>
    <w:rsid w:val="007B2817"/>
    <w:rsid w:val="007C5A14"/>
    <w:rsid w:val="007E264F"/>
    <w:rsid w:val="0083692D"/>
    <w:rsid w:val="00837FD2"/>
    <w:rsid w:val="00843B4A"/>
    <w:rsid w:val="00851FE9"/>
    <w:rsid w:val="0086160A"/>
    <w:rsid w:val="008749E7"/>
    <w:rsid w:val="00883B7B"/>
    <w:rsid w:val="008B378C"/>
    <w:rsid w:val="008D01FD"/>
    <w:rsid w:val="008D44D8"/>
    <w:rsid w:val="008E120E"/>
    <w:rsid w:val="00911DAB"/>
    <w:rsid w:val="009518D7"/>
    <w:rsid w:val="0095238F"/>
    <w:rsid w:val="00971893"/>
    <w:rsid w:val="009727CB"/>
    <w:rsid w:val="00974135"/>
    <w:rsid w:val="00983303"/>
    <w:rsid w:val="009A55C5"/>
    <w:rsid w:val="009C268F"/>
    <w:rsid w:val="009C5E96"/>
    <w:rsid w:val="009D4008"/>
    <w:rsid w:val="009F665E"/>
    <w:rsid w:val="00A06C8F"/>
    <w:rsid w:val="00A1119F"/>
    <w:rsid w:val="00A26A38"/>
    <w:rsid w:val="00A41960"/>
    <w:rsid w:val="00A51CB8"/>
    <w:rsid w:val="00A739AB"/>
    <w:rsid w:val="00A75387"/>
    <w:rsid w:val="00A84F41"/>
    <w:rsid w:val="00A97906"/>
    <w:rsid w:val="00AA30D6"/>
    <w:rsid w:val="00AB042B"/>
    <w:rsid w:val="00AB3DD0"/>
    <w:rsid w:val="00AE455E"/>
    <w:rsid w:val="00AE6588"/>
    <w:rsid w:val="00B027BC"/>
    <w:rsid w:val="00B0293C"/>
    <w:rsid w:val="00B14F21"/>
    <w:rsid w:val="00B32D77"/>
    <w:rsid w:val="00B42EE3"/>
    <w:rsid w:val="00B5051E"/>
    <w:rsid w:val="00B5520E"/>
    <w:rsid w:val="00B72645"/>
    <w:rsid w:val="00B9141E"/>
    <w:rsid w:val="00BC6A97"/>
    <w:rsid w:val="00BD37FF"/>
    <w:rsid w:val="00BE346D"/>
    <w:rsid w:val="00BE509F"/>
    <w:rsid w:val="00BF41BE"/>
    <w:rsid w:val="00C0634E"/>
    <w:rsid w:val="00C13268"/>
    <w:rsid w:val="00C26B0C"/>
    <w:rsid w:val="00C365AE"/>
    <w:rsid w:val="00C40D5B"/>
    <w:rsid w:val="00C47FCC"/>
    <w:rsid w:val="00C54FB8"/>
    <w:rsid w:val="00C90A3E"/>
    <w:rsid w:val="00CA5797"/>
    <w:rsid w:val="00CA64B8"/>
    <w:rsid w:val="00CB3495"/>
    <w:rsid w:val="00CE142D"/>
    <w:rsid w:val="00CE4106"/>
    <w:rsid w:val="00CE5BFA"/>
    <w:rsid w:val="00D37BB3"/>
    <w:rsid w:val="00D4163D"/>
    <w:rsid w:val="00D60CF2"/>
    <w:rsid w:val="00D76FD6"/>
    <w:rsid w:val="00D76FFB"/>
    <w:rsid w:val="00D918F4"/>
    <w:rsid w:val="00D9372B"/>
    <w:rsid w:val="00D95042"/>
    <w:rsid w:val="00D9700A"/>
    <w:rsid w:val="00DA11DC"/>
    <w:rsid w:val="00DA7D2D"/>
    <w:rsid w:val="00DB218B"/>
    <w:rsid w:val="00DB4547"/>
    <w:rsid w:val="00DD6AB5"/>
    <w:rsid w:val="00DE75DD"/>
    <w:rsid w:val="00E132AD"/>
    <w:rsid w:val="00E2155C"/>
    <w:rsid w:val="00E27E13"/>
    <w:rsid w:val="00E61E05"/>
    <w:rsid w:val="00E67CF1"/>
    <w:rsid w:val="00EA7B17"/>
    <w:rsid w:val="00EB394A"/>
    <w:rsid w:val="00EE0BC4"/>
    <w:rsid w:val="00EF46FD"/>
    <w:rsid w:val="00F248DA"/>
    <w:rsid w:val="00F35EA9"/>
    <w:rsid w:val="00F61A0E"/>
    <w:rsid w:val="00F71AA1"/>
    <w:rsid w:val="00FA300F"/>
    <w:rsid w:val="00FA6D35"/>
    <w:rsid w:val="00FA70AD"/>
    <w:rsid w:val="00FB3687"/>
    <w:rsid w:val="00FF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B097"/>
  <w15:chartTrackingRefBased/>
  <w15:docId w15:val="{8FDE4DAB-0FAB-4B2D-9065-A310DFEA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a">
    <w:name w:val="Odrážka"/>
    <w:basedOn w:val="Normln"/>
    <w:link w:val="OdrkaChar"/>
    <w:qFormat/>
    <w:rsid w:val="00BE509F"/>
    <w:pPr>
      <w:numPr>
        <w:numId w:val="1"/>
      </w:numPr>
      <w:spacing w:before="60" w:after="0" w:line="276" w:lineRule="auto"/>
    </w:pPr>
    <w:rPr>
      <w:rFonts w:ascii="Cambria" w:hAnsi="Cambria" w:cs="Times New Roman"/>
    </w:rPr>
  </w:style>
  <w:style w:type="character" w:customStyle="1" w:styleId="OdrkaChar">
    <w:name w:val="Odrážka Char"/>
    <w:basedOn w:val="Standardnpsmoodstavce"/>
    <w:link w:val="Odrka"/>
    <w:rsid w:val="00BE509F"/>
    <w:rPr>
      <w:rFonts w:ascii="Cambria" w:hAnsi="Cambria" w:cs="Times New Roman"/>
    </w:rPr>
  </w:style>
  <w:style w:type="paragraph" w:styleId="Nzev">
    <w:name w:val="Title"/>
    <w:basedOn w:val="Normln"/>
    <w:next w:val="Normln"/>
    <w:link w:val="NzevChar"/>
    <w:uiPriority w:val="10"/>
    <w:qFormat/>
    <w:rsid w:val="007B28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B2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kaznakoment">
    <w:name w:val="annotation reference"/>
    <w:basedOn w:val="Standardnpsmoodstavce"/>
    <w:uiPriority w:val="99"/>
    <w:semiHidden/>
    <w:unhideWhenUsed/>
    <w:rsid w:val="00176E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76EA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76EA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76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76EA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6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EA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83B7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83B7B"/>
    <w:rPr>
      <w:color w:val="808080"/>
      <w:shd w:val="clear" w:color="auto" w:fill="E6E6E6"/>
    </w:rPr>
  </w:style>
  <w:style w:type="paragraph" w:customStyle="1" w:styleId="ed">
    <w:name w:val="šedá"/>
    <w:basedOn w:val="Normln"/>
    <w:rsid w:val="00AE455E"/>
    <w:pPr>
      <w:spacing w:after="0" w:line="240" w:lineRule="auto"/>
      <w:jc w:val="both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E5BFA"/>
  </w:style>
  <w:style w:type="paragraph" w:styleId="Zpat">
    <w:name w:val="footer"/>
    <w:basedOn w:val="Normln"/>
    <w:link w:val="ZpatChar"/>
    <w:uiPriority w:val="99"/>
    <w:unhideWhenUsed/>
    <w:rsid w:val="00CE5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BFA"/>
  </w:style>
  <w:style w:type="paragraph" w:styleId="Odstavecseseznamem">
    <w:name w:val="List Paragraph"/>
    <w:basedOn w:val="Normln"/>
    <w:uiPriority w:val="34"/>
    <w:qFormat/>
    <w:rsid w:val="009D4008"/>
    <w:pPr>
      <w:ind w:left="720"/>
      <w:contextualSpacing/>
    </w:pPr>
  </w:style>
  <w:style w:type="table" w:styleId="Mkatabulky">
    <w:name w:val="Table Grid"/>
    <w:basedOn w:val="Normlntabulka"/>
    <w:uiPriority w:val="39"/>
    <w:rsid w:val="009F6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14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C5A1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D74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7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google.com/maps/place/data=!4m2!3m1!1s0x47129456d06b3859:0x7eac3cb371b95343?sa=X&amp;ved=1t:8290&amp;ictx=11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D1D78E3D38B2458550050FEF9A6332" ma:contentTypeVersion="15" ma:contentTypeDescription="Vytvoří nový dokument" ma:contentTypeScope="" ma:versionID="4c94c195c04b0ed0e49407e41c5e0a39">
  <xsd:schema xmlns:xsd="http://www.w3.org/2001/XMLSchema" xmlns:xs="http://www.w3.org/2001/XMLSchema" xmlns:p="http://schemas.microsoft.com/office/2006/metadata/properties" xmlns:ns2="6b98058c-f967-4815-81d0-68e5f0e056ac" xmlns:ns3="64c94459-a6c5-4cf5-89c0-115a7989494d" targetNamespace="http://schemas.microsoft.com/office/2006/metadata/properties" ma:root="true" ma:fieldsID="16301f383a7ef0f6e32a1d76288a01d2" ns2:_="" ns3:_="">
    <xsd:import namespace="6b98058c-f967-4815-81d0-68e5f0e056ac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8058c-f967-4815-81d0-68e5f0e05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1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c94459-a6c5-4cf5-89c0-115a7989494d">MMB0-1061761485-7722</_dlc_DocId>
    <_dlc_DocIdUrl xmlns="64c94459-a6c5-4cf5-89c0-115a7989494d">
      <Url>https://mmbonline.sharepoint.com/OMI/GIS_privat/_layouts/15/DocIdRedir.aspx?ID=MMB0-1061761485-7722</Url>
      <Description>MMB0-1061761485-7722</Description>
    </_dlc_DocIdUrl>
    <TaxCatchAll xmlns="64c94459-a6c5-4cf5-89c0-115a7989494d" xsi:nil="true"/>
    <lcf76f155ced4ddcb4097134ff3c332f xmlns="6b98058c-f967-4815-81d0-68e5f0e056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4D921A-332F-4623-A785-8E6821E074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B8D8CD-7F4A-4738-84C9-839FE0D94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8058c-f967-4815-81d0-68e5f0e056ac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C210DC-7091-4CAE-B1F2-3C7F12F14E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8C0F4D-A1B9-4EAC-880D-D908C737FB9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63014A2-C9A6-4FBE-9B59-D6F318291B19}">
  <ds:schemaRefs>
    <ds:schemaRef ds:uri="http://schemas.microsoft.com/office/2006/metadata/properties"/>
    <ds:schemaRef ds:uri="http://schemas.microsoft.com/office/infopath/2007/PartnerControls"/>
    <ds:schemaRef ds:uri="64c94459-a6c5-4cf5-89c0-115a7989494d"/>
    <ds:schemaRef ds:uri="6b98058c-f967-4815-81d0-68e5f0e056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778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Glosová</dc:creator>
  <cp:keywords/>
  <dc:description/>
  <cp:lastModifiedBy>Zajíc Ladislav</cp:lastModifiedBy>
  <cp:revision>112</cp:revision>
  <dcterms:created xsi:type="dcterms:W3CDTF">2018-10-04T04:17:00Z</dcterms:created>
  <dcterms:modified xsi:type="dcterms:W3CDTF">2026-01-22T06:46:00Z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0x0101009AD1D78E3D38B2458550050FEF9A6332</vt:lpwstr>
  </property>
  <property fmtid="{D5CDD505-2E9C-101B-9397-08002B2CF9AE}" pid="3" name="_dlc_DocIdItemGuid">
    <vt:lpwstr>41900281-4884-4ded-a38b-15e5c1476e6a</vt:lpwstr>
  </property>
  <property fmtid="{D5CDD505-2E9C-101B-9397-08002B2CF9AE}" pid="4" name="MediaServiceImageTags">
    <vt:lpwstr/>
  </property>
</Properties>
</file>